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WpIG — Errichten einer Zweigniederlassung durch inländische Wertpapierinstitute</w:t>
      </w:r>
    </w:p>
    <w:p>
      <w:r>
        <w:rPr>
          <w:color w:val="555555"/>
          <w:sz w:val="18"/>
        </w:rPr>
        <w:t xml:space="preserve">Wertpapierinstitutsgesetz</w:t>
      </w:r>
    </w:p>
    <w:p>
      <w:r>
        <w:rPr>
          <w:color w:val="555555"/>
          <w:sz w:val="18"/>
        </w:rPr>
        <w:t xml:space="preserve">Stand: 26.06.2021 (konsolidierte Textfassung, kein amtliches Inkrafttretensdatum)</w:t>
      </w:r>
    </w:p>
    <w:p>
      <w:r>
        <w:t xml:space="preserve">(1) Ein Wertpapierinstitut, das beabsichtigt, in einem anderen Vertragsstaat</w:t>
      </w:r>
    </w:p>
    <w:p>
      <w:pPr>
        <w:ind w:left="420"/>
      </w:pPr>
      <w:r>
        <w:t xml:space="preserve">1. eine Zweigniederlassung zu errichten oder</w:t>
      </w:r>
    </w:p>
    <w:p>
      <w:pPr>
        <w:ind w:left="420"/>
      </w:pPr>
      <w:r>
        <w:t xml:space="preserve">2. ohne dort eine Zweigniederlassung zu errichten, vertraglich gebundene Vermittler mit Sitz oder gewöhnlichem Aufenthalt in diesem Vertragsstaat heranzuziehen,</w:t>
      </w:r>
    </w:p>
    <w:p>
      <w:r>
        <w:t xml:space="preserve">hat dies der Bundesanstalt und der Deutschen Bundesbank unverzüglich anzuzeigen. Die Anzeigepflicht nach Satz 1 gilt auch für ein Wertpapierinstitut, das seine Zweigniederlassung vor dem Zeitpunkt, zu dem es unter die Anzeigepflicht nach Absatz 1 fällt, in einem anderen Vertragsstaat errichtet hat.</w:t>
      </w:r>
    </w:p>
    <w:p>
      <w:r>
        <w:t xml:space="preserve">(2) Die Anzeige muss enthalten:</w:t>
      </w:r>
    </w:p>
    <w:p>
      <w:pPr>
        <w:ind w:left="420"/>
      </w:pPr>
      <w:r>
        <w:t xml:space="preserve">1. die Angabe des Vertragsstaates, in dem die Zweigniederlassung errichtet werden soll oder in dem ohne Errichtung einer Zweigniederlassung dort ansässige vertraglich gebundene Vermittler herangezogen werden sollen,</w:t>
      </w:r>
    </w:p>
    <w:p>
      <w:pPr>
        <w:ind w:left="420"/>
      </w:pPr>
      <w:r>
        <w:t xml:space="preserve">2. einen Geschäftsplan, aus dem die Art der geplanten Geschäfte, der organisatorische Aufbau der Zweigniederlassung und eine Absicht zur Heranziehung vertraglich gebundener Vermittler, hervorgehen sowie die Namen der vertraglich gebundenen Vermittler,</w:t>
      </w:r>
    </w:p>
    <w:p>
      <w:pPr>
        <w:ind w:left="420"/>
      </w:pPr>
      <w:r>
        <w:t xml:space="preserve">3. soweit vertraglich gebundene Vermittler in einem anderen Vertragsstaat ohne Errichtung einer Zweigniederlassung herangezogen werden sollen, eine Beschreibung des beabsichtigten Einsatzes der vertraglich gebundenen Vermittler und der Organisationsstruktur, einschließlich der Berichtswege, aus der hervorgeht, wie die vertraglich gebundenen Vermittler in die Unternehmensstruktur des Wertpapierinstituts eingebunden sind, sowie die Namen der vertraglich gebundenen Vermittler,</w:t>
      </w:r>
    </w:p>
    <w:p>
      <w:pPr>
        <w:ind w:left="420"/>
      </w:pPr>
      <w:r>
        <w:t xml:space="preserve">4. die Anschrift, unter der Unterlagen des Wertpapierinstituts im Aufnahmevertragsstaat angefordert und Schriftstücke zugestellt werden können, und</w:t>
      </w:r>
    </w:p>
    <w:p>
      <w:pPr>
        <w:ind w:left="420"/>
      </w:pPr>
      <w:r>
        <w:t xml:space="preserve">5. die Angabe der Leiter der Zweigniederlassung.</w:t>
      </w:r>
    </w:p>
    <w:p>
      <w:r>
        <w:t xml:space="preserve">(3) Wertpapiernebendienstleistungen dürfen nur in Verbindung mit mindestens einer Wertpapierdienstleistung angezeigt werden. Nähere Bestimmungen ergeben sich aus der Delegierten Verordnung (EU) 2017/1018 der Kommission vom 29. Juni 2016 zur Ergänzung der Richtlinie 2014/65/EU des Europäischen Parlaments und des Rates über Märkte für Finanzinstrumente durch technische Regulierungsstandards zur Präzisierung der Angaben, die von Wertpapierfirmen, Marktbetreibern und Kreditinstituten zu übermitteln sind (ABl. L 155 vom 17.6.2017, S. 1; L 210 vom 15.8.2017, S. 17; L 292 vom 10.11.2017, S. 119) und der Durchführungsverordnung (EU) 2017/2382 der Kommission vom 14. Dezember 2017 zur Festlegung technischer Durchführungsstandards in Bezug auf Standardformulare, Mustertexte und Verfahren für die Übermittlung von Angaben nach Maßgabe der Richtlinie 2014/65/EU des Europäischen Parlaments und des Rates (ABl. L 340 vom 20.12.2017, S. 6; L 33 vom 7.2.2018, S. 5).</w:t>
      </w:r>
    </w:p>
    <w:p>
      <w:r>
        <w:t xml:space="preserve">(4) Hat die Bundesanstalt keine Anhaltspunkte, die Zweifel an der Angemessenheit der Organisationsstruktur und der Finanzlage des Wertpapierinstituts begründen, übermittelt sie die Angaben nach den Absätzen 1 und 2 innerhalb von drei Monaten nach Eingang der vollständigen Unterlagen der zuständigen Behörde des Aufnahmevertragsstaates. Die Bundesanstalt teilt dies dem anzeigenden Wertpapierinstitut mit. Sie unterrichtet die zuständige Behörde des Aufnahmevertragsstaates außerdem über die Sicherungseinrichtung, der das Wertpapierinstitut angehört. Leitet die Bundesanstalt die Angaben nach den Absätzen 1 und 2 nicht an die zuständige Behörde des Aufnahmevertragsstaates weiter, teilt die Bundesanstalt dem Wertpapierinstitut innerhalb von drei Monaten nach Eingang sämtlicher Angaben nach den Absätzen 1 und 2 die Gründe dafür mit. Nach Weiterleitung der Anzeige an die zuständigen Stellen des Aufnahmevertragsstaates kann das Wertpapierinstitut nach einer entsprechenden Mitteilung dieser Stellen oder spätestens nach Ablauf einer Zweimonatsfrist seine Tätigkeit in dem anderen Staat aufnehmen.</w:t>
      </w:r>
    </w:p>
    <w:p>
      <w:r>
        <w:rPr>
          <w:color w:val="555555"/>
          <w:sz w:val="17"/>
        </w:rPr>
        <w:t xml:space="preserve">Zitiervorschlag: § 70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