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WpIG — Befugnis für einzelfallbezogene Anzeigepflichten; Verordnungsermächtigung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und die Deutsche Bundesbank können einem Wertpapierinstitut, einer Wertpapierinstitutsgruppe oder Investmentholdinggruppe zusätzliche Anzeige- und Meldepflichten auferlegen, insbesondere, um vertieften Einblick zu erhalten in die Entwicklung ihrer wirtschaftlichen Verhältnisse, in ihre Grundsätze einer ordnungsgemäßen Geschäftsführung und in die Fähigkeiten der Mitglieder der Organe des Wertpapierinstituts, soweit dies zur Erfüllung der Aufgaben der Bundesanstalt und der Deutschen Bundesbank erforderlich ist.</w:t>
      </w:r>
    </w:p>
    <w:p>
      <w:r>
        <w:t xml:space="preserve">(2) Das Bundesministerium der Finanzen kann im Benehmen mit der Deutschen Bundesbank durch Rechtsverordnung, die nicht der Zustimmung des Bundesrates bedarf, weitere Anzeigepflichten für Wertpapierinstitute, Investmentholdinggesellschaften, gemischte Finanzholdinggesellschaften sowie deren Geschäftsleiter erlassen, die für eine wirksame Beaufsichtigung durch die Bundesanstalt erforderlich sind. Das Bundesministerium der Finanzen kann die Ermächtigung durch Rechtsverordnung auf die Bundesanstalt mit der Maßgabe übertragen, dass die Rechtsverordnung im Einvernehmen mit der Deutschen Bundesbank ergeht. Vor Erlass der Rechtsverordnung sind die Spitzenverbände der Wertpapierinstitute anzuhören.</w:t>
      </w:r>
    </w:p>
    <w:p>
      <w:r>
        <w:rPr>
          <w:color w:val="555555"/>
          <w:sz w:val="17"/>
        </w:rPr>
        <w:t xml:space="preserve">Zitiervorschlag: § 68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