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WpIG — Anzeigepflichten für Kleine und Mittlere Wertpapierinstitute</w:t>
      </w:r>
    </w:p>
    <w:p>
      <w:r>
        <w:rPr>
          <w:color w:val="555555"/>
          <w:sz w:val="18"/>
        </w:rPr>
        <w:t xml:space="preserve">Wertpapierinstitutsgesetz</w:t>
      </w:r>
    </w:p>
    <w:p>
      <w:r>
        <w:rPr>
          <w:color w:val="555555"/>
          <w:sz w:val="18"/>
        </w:rPr>
        <w:t xml:space="preserve">Stand: 01.04.2026 (konsolidierte Textfassung, kein amtliches Inkrafttretensdatum)</w:t>
      </w:r>
    </w:p>
    <w:p>
      <w:r>
        <w:t xml:space="preserve">(1) Ein Kleines oder Mittleres Wertpapierinstitut, das über die Erlaubnis für die Dienstleistungen nach § 2 Absatz 2 Nummer 10 oder § 2 Absatz 3 Nummer 2 verfügt oder auf eigene Rechnung im Sinne des § 17 Absatz 1 handelt, hat der bei der Deutschen Bundesbank geführten Evidenzzentrale vierteljährlich (Beobachtungszeitraum) die Kreditnehmer (Millionenkreditnehmer) anzuzeigen, deren Kreditvolumen 1 Million Euro oder mehr beträgt (Millionenkreditmeldegrenze). § 14 Absatz 2 bis 4 und die §§ 19 und 20 des Kreditwesengesetzes sowie Teil 2 und 3 der Großkredit- und Millionenkreditverordnung gelten entsprechend.</w:t>
      </w:r>
    </w:p>
    <w:p>
      <w:r>
        <w:t xml:space="preserve">(2) Ein Kleines oder Mittleres Wertpapierinstitut hat der Deutschen Bundesbank unverzüglich nach Ablauf eines jeden Quartals Informationen zu seiner finanziellen Situation (Finanzinformationen) einzureichen. Die Deutsche Bundesbank leitet die Angaben mit ihrer Stellungnahme an die Bundesanstalt weiter; diese kann auf die Weiterleitung bestimmter Angaben verzichten. Die Bundesanstalt kann im Einzelfall die Frist zur Einreichung von einzelnen Informationen oder der Informationen insgesamt verkürzen.</w:t>
      </w:r>
    </w:p>
    <w:p>
      <w:r>
        <w:t xml:space="preserve">(3) Ein Mittleres Wertpapierinstitut hat der Bundesanstalt und der Deutschen Bundesbank jährlich anzuzeigen:</w:t>
      </w:r>
    </w:p>
    <w:p>
      <w:pPr>
        <w:ind w:left="420"/>
      </w:pPr>
      <w:r>
        <w:t xml:space="preserve">1. die Informationen, die für einen Vergleich der Vergütungstrends und -praktiken im Sinne des Artikels 34 Absatz 1 der Richtlinie (EU) 2019/2034 in der Fassung vom 27. November 2024 erforderlich sind, wenn seine bilanziellen und außerbilanziellen Vermögenswerte, gemessen am Durchschnitt der letzten vier vorangegangenen Geschäftsjahre, mehr als 300 Millionen Euro betragen oder es von der Bundesanstalt oder der Deutschen Bundesbank dazu aufgefordert wird; der Vergleich umfasst auch die Vergütungstrends und -praktiken in Bezug auf die Mitglieder des Verwaltungs- oder Aufsichtsorgans, und</w:t>
      </w:r>
    </w:p>
    <w:p>
      <w:pPr>
        <w:ind w:left="420"/>
      </w:pPr>
      <w:r>
        <w:t xml:space="preserve">2. die Informationen über Geschäftsleiter, Mitglieder des Verwaltungs- oder Aufsichtsorgans und Mitarbeiter mit jeweils einer Gesamtvergütung von jährlich mindestens 1 Million Euro im Sinne des Artikels 34 Absatz 4 der Richtlinie (EU) 2019/2034 in der Fassung vom 27. November 2024, die für eine aggregierte Veröffentlichung durch die Europäische Bankenaufsichtsbehörde erforderlich sind.</w:t>
      </w:r>
    </w:p>
    <w:p>
      <w:r>
        <w:t xml:space="preserve">(4) Ein Mittleres Wertpapierinstitut, dessen bilanzielle und außerbilanzielle Vermögenswerte, gemessen am Durchschnitt der letzten vier vorangegangenen Geschäftsjahre, mehr als 300 Millionen Euro betragen oder das von der Bundesanstalt oder der Deutschen Bundesbank dazu aufgefordert wird, hat der Bundesanstalt und der Deutschen Bundesbank dreijährlich anzuzeigen:</w:t>
      </w:r>
    </w:p>
    <w:p>
      <w:pPr>
        <w:ind w:left="420"/>
      </w:pPr>
      <w:r>
        <w:t xml:space="preserve">1. die Informationen zum geschlechtsspezifischen Lohngefälle, die für die Zwecke des Artikels 34 Absatz 1 der Richtlinie (EU) 2019/2034 in der Fassung vom 27. November 2024 erforderlich sind, und</w:t>
      </w:r>
    </w:p>
    <w:p>
      <w:pPr>
        <w:ind w:left="420"/>
      </w:pPr>
      <w:r>
        <w:t xml:space="preserve">2. die Informationen zum Vergleich der Diversität in den Instituten, die für die Zwecke des Artikels 26 der Richtlinie (EU) 2019/2034 in der Fassung vom 27. November 2024 erforderlich sind.</w:t>
      </w:r>
    </w:p>
    <w:p>
      <w:r>
        <w:rPr>
          <w:color w:val="555555"/>
          <w:sz w:val="17"/>
        </w:rPr>
        <w:t xml:space="preserve">Zitiervorschlag: § 66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