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WpIG — Qualifikation von Geschäftsleitern und Mitgliedern des Verwaltungs- oder Aufsichtsorgans einer Investmentholdinggesellschaft oder einer gemischten Finanzholdinggesellschaft; Tätigkeitsuntersagung; Verwarnung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Geschäftsleiter und Mitglieder des Verwaltungs- oder Aufsichtsorgans einer Investmentholdinggesellschaft oder einer gemischten Finanzholdinggesellschaft müssen zuverlässig sein und über ausreichende Kenntnisse, Fähigkeiten und Erfahrung für die wirksame Erfüllung ihrer Aufgaben unter Berücksichtigung der besonderen Rolle einer Investmentholdinggesellschaft oder gemischten Finanzholdinggesellschaft verfügen. Sie müssen der Wahrnehmung ihrer Aufgaben ausreichend Zeit widmen.</w:t>
      </w:r>
    </w:p>
    <w:p>
      <w:r>
        <w:t xml:space="preserve">(2) Bei Investmentholdinggesellschaften und gemischten Finanzholdinggesellschaften kann die Bundesanstalt die Abberufung der in Absatz 1 genannten Personen verlangen und ihnen die Ausübung ihrer Tätigkeit untersagen, wenn</w:t>
      </w:r>
    </w:p>
    <w:p>
      <w:pPr>
        <w:ind w:left="420"/>
      </w:pPr>
      <w:r>
        <w:t xml:space="preserve">1. sie die Anforderungen an die Ausübung einer Tätigkeit als Geschäftsleiter oder Mitglied des Verwaltungs- oder Aufsichtsorgans nach Absatz 1 nicht erfüllen oder</w:t>
      </w:r>
    </w:p>
    <w:p>
      <w:pPr>
        <w:ind w:left="420"/>
      </w:pPr>
      <w:r>
        <w:t xml:space="preserve">2. sie vorsätzlich oder leichtfertig gegen dieses Gesetz, gegen die zur Durchführung dieses Gesetzes erlassenen Verordnungen oder gegen Anordnungen der Bundesanstalt verstoßen haben und trotz Verwarnung durch die Bundesanstalt dieses Verhalten fortsetzen.</w:t>
      </w:r>
    </w:p>
    <w:p>
      <w:r>
        <w:t xml:space="preserve">Die Abberufung von Arbeitnehmervertretern im Aufsichtsrat erfolgt allein nach den Vorschriften der Mitbestimmungsgesetze.</w:t>
      </w:r>
    </w:p>
    <w:p>
      <w:r>
        <w:t xml:space="preserve">(3) Die Bundesanstalt kann einen Geschäftsleiter oder ein Mitglied des Verwaltungs- oder Aufsichtsorgans einer Investmentholdinggesellschaft oder einer gemischten Finanzholdinggesellschaft verwarnen, wenn dieser vorsätzlich oder leichtfertig gegen dieses Gesetz, gegen die zur Durchführung dieses Gesetzes erlassenen Verordnungen oder gegen Anordnungen der Bundesanstalt verstoßen hat.</w:t>
      </w:r>
    </w:p>
    <w:p>
      <w:r>
        <w:rPr>
          <w:color w:val="555555"/>
          <w:sz w:val="17"/>
        </w:rPr>
        <w:t xml:space="preserve">Zitiervorschlag: § 62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