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WpIG — Pflicht zur Unterrichtung der Europäischen Bankenaufsichtsbehörde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Die Bundesanstalt unterrichtet die Europäische Bankenaufsichtsbehörde über</w:t>
      </w:r>
    </w:p>
    <w:p>
      <w:pPr>
        <w:ind w:left="420"/>
      </w:pPr>
      <w:r>
        <w:t xml:space="preserve">1. ihren Überprüfungs- und Bewertungsprozess nach § 47,</w:t>
      </w:r>
    </w:p>
    <w:p>
      <w:pPr>
        <w:ind w:left="420"/>
      </w:pPr>
      <w:r>
        <w:t xml:space="preserve">2. die Methode für den Erlass von Entscheidungen gemäß den §§ 56 bis 58 und</w:t>
      </w:r>
    </w:p>
    <w:p>
      <w:pPr>
        <w:ind w:left="420"/>
      </w:pPr>
      <w:r>
        <w:t xml:space="preserve">3. den Umfang der nach § 83 festgelegten Sanktionen.</w:t>
      </w:r>
    </w:p>
    <w:p>
      <w:r>
        <w:rPr>
          <w:color w:val="555555"/>
          <w:sz w:val="17"/>
        </w:rPr>
        <w:t xml:space="preserve">Zitiervorschlag: § 55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