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WpIG — Veröffentlichungspflichten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Die Bundesanstalt kann ein Mittleres Wertpapierinstitut und ein Wertpapierinstitut nach Artikel 46 Absatz 2 der Verordnung (EU) 2019/2033 dazu verpflichten,</w:t>
      </w:r>
    </w:p>
    <w:p>
      <w:pPr>
        <w:ind w:left="420"/>
      </w:pPr>
      <w:r>
        <w:t xml:space="preserve">1. die in Artikel 46 der Verordnung (EU) 2019/2033 genannten Angaben mehr als einmal jährlich zu veröffentlichen und</w:t>
      </w:r>
    </w:p>
    <w:p>
      <w:pPr>
        <w:ind w:left="420"/>
      </w:pPr>
      <w:r>
        <w:t xml:space="preserve">2. für andere Veröffentlichungen als den Jahresabschluss besondere Medien und Orte und insbesondere ihre Websites zu nutzen.</w:t>
      </w:r>
    </w:p>
    <w:p>
      <w:r>
        <w:t xml:space="preserve">Die Bundesanstalt kann Fristen für die Veröffentlichungen der in Artikel 46 der Verordnung (EU) 2019/2033 genannten Angaben setzen.</w:t>
      </w:r>
    </w:p>
    <w:p>
      <w:r>
        <w:t xml:space="preserve">(2) Die Bundesanstalt kann Mutterunternehmen dazu verpflichten, jährlich entweder vollständig zusammenhängend in Textform oder durch einen Verweis auf gleichwertige Angaben eine Beschreibung ihrer rechtlichen Struktur und der Unternehmensführungs- und Organisationsstruktur der Wertpapierinstitutsgruppe gemäß § 41 dieses Gesetzes und Artikel 10 der Richtlinie 2014/65/EU zu veröffentlichen.</w:t>
      </w:r>
    </w:p>
    <w:p>
      <w:r>
        <w:rPr>
          <w:color w:val="555555"/>
          <w:sz w:val="17"/>
        </w:rPr>
        <w:t xml:space="preserve">Zitiervorschlag: § 54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