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WpIG — Besondere Liquiditätsanforderungen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Die Bundesanstalt kann besondere Liquiditätsanforderungen nach § 49 Nummer 11 anordnen, wenn Tatsachen die Annahme rechtfertigen, dass ein Mittleres Wertpapierinstitut oder ein Kleines Wertpapierinstitut, das nicht von der Liquiditätsanforderung nach Artikel 43 Absatz 1 der Verordnung (EU) 2019/2033 ausgenommen ist,</w:t>
      </w:r>
    </w:p>
    <w:p>
      <w:pPr>
        <w:ind w:left="420"/>
      </w:pPr>
      <w:r>
        <w:t xml:space="preserve">1. Liquiditätsrisiken oder Liquiditätsrisikokomponenten ausgesetzt ist, die von der Liquiditätsanforderung in Teil 5 der Verordnung (EU) 2019/2033 nicht oder nicht ausreichend abgedeckt sind, oder</w:t>
      </w:r>
    </w:p>
    <w:p>
      <w:pPr>
        <w:ind w:left="420"/>
      </w:pPr>
      <w:r>
        <w:t xml:space="preserve">2. die Anforderungen der § 39 oder 41 nicht erfüllt und andere organisatorische Maßnahmen des Wertpapierinstituts nicht innerhalb eines angemessenen Zeitraums zu einer ausreichenden Verbesserung der Regelungen, Verfahren, Mechanismen und Strategien führen.</w:t>
      </w:r>
    </w:p>
    <w:p>
      <w:r>
        <w:t xml:space="preserve">(2) Die Bundesanstalt legt die Höhe der nach § 49 Nummer 11 erforderlichen besonderen Liquidität als Differenz zwischen der gemäß Absatz 1 als angemessen betrachteten Liquidität und der in Teil 5 der Verordnung (EU) 2019/2033 vorgesehenen Liquiditätsanforderung fest.</w:t>
      </w:r>
    </w:p>
    <w:p>
      <w:r>
        <w:t xml:space="preserve">(3) Die besondere Liquiditätsanforderung nach § 49 Nummer 11 ist mit liquiden Aktiva gemäß Artikel 43 der Verordnung (EU) 2019/2033 zu erfüllen.</w:t>
      </w:r>
    </w:p>
    <w:p>
      <w:r>
        <w:rPr>
          <w:color w:val="555555"/>
          <w:sz w:val="17"/>
        </w:rPr>
        <w:t xml:space="preserve">Zitiervorschlag: § 52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