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WpIG — Vorgaben zu zusätzlichen Eigenmitteln</w:t>
      </w:r>
    </w:p>
    <w:p>
      <w:r>
        <w:rPr>
          <w:color w:val="555555"/>
          <w:sz w:val="18"/>
        </w:rPr>
        <w:t xml:space="preserve">Wertpapierinstitutsgesetz</w:t>
      </w:r>
    </w:p>
    <w:p>
      <w:r>
        <w:rPr>
          <w:color w:val="555555"/>
          <w:sz w:val="18"/>
        </w:rPr>
        <w:t xml:space="preserve">Stand: 26.06.2021 (konsolidierte Textfassung, kein amtliches Inkrafttretensdatum)</w:t>
      </w:r>
    </w:p>
    <w:p>
      <w:r>
        <w:t xml:space="preserve">(1) Zusätzliche Eigenmittelanforderungen kann die Bundesanstalt gegenüber einem Mittleren Wertpapierinstitut unter Berücksichtigung der Größe und Systemrelevanz sowie der Art, des Umfangs und der Komplexität der Tätigkeiten anordnen, um zu verhindern, dass konjunkturbedingte wirtschaftliche Schwankungen zu einer Unterschreitung der in Teil 3 der Verordnung (EU) 2019/2033 genannten und der nach § 49 Nummer 1 und § 50 angeordneten Eigenmittelanforderungen führen oder die Fähigkeit des Wertpapierinstituts gefährden, die Einstellung der Geschäftstätigkeit geordnet durchzuführen.</w:t>
      </w:r>
    </w:p>
    <w:p>
      <w:r>
        <w:t xml:space="preserve">(2) Die Bundesanstalt kann bei einem Mittleren Wertpapierinstitut die Angemessenheit der nach Absatz 1 angeordneten zusätzlichen Eigenmittelanforderungen überprüfen, Änderungen der zusätzlichen Eigenmittel anordnen und zu deren Umsetzung eine Frist bestimmen.</w:t>
      </w:r>
    </w:p>
    <w:p>
      <w:r>
        <w:rPr>
          <w:color w:val="555555"/>
          <w:sz w:val="17"/>
        </w:rPr>
        <w:t xml:space="preserve">Zitiervorschlag: § 51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