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WpIG — Zusätzliche Eigenmittelanforderungen</w:t>
      </w:r>
    </w:p>
    <w:p>
      <w:r>
        <w:rPr>
          <w:color w:val="555555"/>
          <w:sz w:val="18"/>
        </w:rPr>
        <w:t xml:space="preserve">Wertpapierinstitutsgesetz</w:t>
      </w:r>
    </w:p>
    <w:p>
      <w:r>
        <w:rPr>
          <w:color w:val="555555"/>
          <w:sz w:val="18"/>
        </w:rPr>
        <w:t xml:space="preserve">Stand: 03.01.2024 (konsolidierte Textfassung, kein amtliches Inkrafttretensdatum)</w:t>
      </w:r>
    </w:p>
    <w:p>
      <w:r>
        <w:t xml:space="preserve">(1) Die Bundesanstalt kann die in § 49 Nummer 1 genannten zusätzlichen Eigenmittelanforderungen anordnen, wenn Tatsachen die Annahme rechtfertigen, dass</w:t>
      </w:r>
    </w:p>
    <w:p>
      <w:pPr>
        <w:ind w:left="420"/>
      </w:pPr>
      <w:r>
        <w:t xml:space="preserve">1. das Wertpapierinstitut Risiken oder Risikokomponenten ausgesetzt ist oder für andere darstellt, die von den Eigenmittelanforderungen, insbesondere denen für K-Faktoren, in Teil 3 oder 4 der Verordnung (EU) 2019/2033 nicht oder nicht ausreichend abgedeckt sind;</w:t>
      </w:r>
    </w:p>
    <w:p>
      <w:pPr>
        <w:ind w:left="420"/>
      </w:pPr>
      <w:r>
        <w:t xml:space="preserve">2. das Wertpapierinstitut die Anforderungen der §§ 39 und 41 nicht erfüllt und andere Aufsichtsmaßnahmen nicht innerhalb eines angemessenen Zeitraums zu einer ausreichenden Verbesserung der Regelungen, Verfahren, Mechanismen und Strategien führen;</w:t>
      </w:r>
    </w:p>
    <w:p>
      <w:pPr>
        <w:ind w:left="420"/>
      </w:pPr>
      <w:r>
        <w:t xml:space="preserve">3. die Anpassung der Bewertung von Positionen des Handelsbuchs nicht ausreichen, um das Wertpapierinstitut in die Lage zu versetzen, seine Positionen innerhalb kurzer Zeit zu veräußern oder abzusichern, ohne dabei unter normalen Marktbedingungen wesentliche Verluste zu erleiden;</w:t>
      </w:r>
    </w:p>
    <w:p>
      <w:pPr>
        <w:ind w:left="420"/>
      </w:pPr>
      <w:r>
        <w:t xml:space="preserve">4. die Nichterfüllung der Anforderungen für die Anwendung der zulässigen internen Modelle zu nicht ausreichenden Kapitalanforderungen führen wird oder</w:t>
      </w:r>
    </w:p>
    <w:p>
      <w:pPr>
        <w:ind w:left="420"/>
      </w:pPr>
      <w:r>
        <w:t xml:space="preserve">5. das Wertpapierinstitut wiederholt Verlangen der Bundesanstalt zur Erhöhung der Eigenmittelanforderungen nach § 51 nicht nachkommt.</w:t>
      </w:r>
    </w:p>
    <w:p>
      <w:r>
        <w:t xml:space="preserve">(2) Für die Zwecke von Absatz 1 Nummer 1 gelten Risiken oder Risikokomponenten nur dann als nicht oder nicht ausreichend abgedeckt von den Eigenmittelanforderungen in den Teilen 3 und 4 der Verordnung (EU) 2019/2033, wenn das interne Kapital, das die Bundesanstalt nach der aufsichtlichen Überprüfung der von dem Wertpapierinstitut gemäß § 39 Absatz 1 durchgeführten Bewertung für angemessen hält, hinsichtlich seiner Höhe, Art und Verteilung über der in Teil 3 oder 4 der Verordnung (EU) 2019/2033 vorgesehenen Eigenmittelanforderung an das Wertpapierinstitut liegt. Die Höhe des als angemessen betrachteten internen Kapitals kann solche Risiken oder Risikokomponenten umfassen, die von den Eigenmittelanforderungen in Teil 3 oder 4 der Verordnung (EU) 2019/2033 ausdrücklich ausgeschlossen sind.</w:t>
      </w:r>
    </w:p>
    <w:p>
      <w:r>
        <w:t xml:space="preserve">(3) Die Bundesanstalt legt die Höhe der nach § 49 Nummer 1 erforderlichen zusätzlichen Eigenmittel als Differenz zwischen den gemäß Absatz 2 als angemessen betrachteten Eigenmitteln und den in Teil 3 oder 4 der Verordnung (EU) 2019/2033 vorgesehenen Eigenmittelanforderungen fest.</w:t>
      </w:r>
    </w:p>
    <w:p>
      <w:r>
        <w:t xml:space="preserve">(4) Die Bundesanstalt verpflichtet das Wertpapierinstitut, die in § 49 Nummer 1 genannten zusätzlichen Eigenmittelanforderungen in folgender Weise zu erfüllen:</w:t>
      </w:r>
    </w:p>
    <w:p>
      <w:pPr>
        <w:ind w:left="420"/>
      </w:pPr>
      <w:r>
        <w:t xml:space="preserve">1. die zusätzlichen Eigenmittelanforderungen sind zu mindestens drei Vierteln mit Kernkapital zu erfüllen;</w:t>
      </w:r>
    </w:p>
    <w:p>
      <w:pPr>
        <w:ind w:left="420"/>
      </w:pPr>
      <w:r>
        <w:t xml:space="preserve">2. das Kernkapital muss zu mindestens drei Vierteln aus hartem Kernkapital bestehen und</w:t>
      </w:r>
    </w:p>
    <w:p>
      <w:pPr>
        <w:ind w:left="420"/>
      </w:pPr>
      <w:r>
        <w:t xml:space="preserve">3. diese Eigenmittel dürfen nicht zur Erfüllung einer der Eigenmittelanforderungen in Artikel 11 Absatz 1 der Verordnung (EU) 2019/2033 verwendet werden.</w:t>
      </w:r>
    </w:p>
    <w:p>
      <w:r>
        <w:rPr>
          <w:color w:val="555555"/>
          <w:sz w:val="17"/>
        </w:rPr>
        <w:t xml:space="preserve">Zitiervorschlag: § 50 WpIG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https://recht.nulegal.eu/gesetze/WpIG/50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