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WpIG — Aufgaben und allgemeine Befugnisse der Bundesanstalt</w:t>
      </w:r>
    </w:p>
    <w:p>
      <w:r>
        <w:rPr>
          <w:color w:val="555555"/>
          <w:sz w:val="18"/>
        </w:rPr>
        <w:t xml:space="preserve">Wertpapierinstitutsgesetz</w:t>
      </w:r>
    </w:p>
    <w:p>
      <w:r>
        <w:rPr>
          <w:color w:val="555555"/>
          <w:sz w:val="18"/>
        </w:rPr>
        <w:t xml:space="preserve">Stand: 03.07.2026 (konsolidierte Textfassung, kein amtliches Inkrafttretensdatum)</w:t>
      </w:r>
    </w:p>
    <w:p>
      <w:r>
        <w:t xml:space="preserve">(1) Die Bundesanstalt übt die Aufsicht über Wertpapierinstitute, Investmentholdinggesellschaften und gemischte Finanzholdinggesellschaften nach den Vorschriften dieses Gesetzes, den dazu erlassenen Rechtsverordnungen, der Verordnung (EU) 2019/2033 und der auf der Grundlage der Verordnung (EU) 2019/2033 und der Richtlinie (EU) 2019/2034 erlassenen Rechtsakte sowie der Verordnung (EU) 2022/2554 des Europäischen Parlaments und des Rates vom 14. Dezember 2022 über die digitale operationale Resilienz im Finanzsektor und zur Änderung der Verordnung (EG) Nr. 1060/2009, (EU) Nr. 648/2012, (EU) Nr. 600/2014, (EU) Nr. 909/2014 und (EU) 2016/1011 (ABl. L 333 vom 27.12.2022, S. 1) in der jeweils geltenden Fassung und der auf der Grundlage der Verordnung (EU) 2022/2554 erlassenen Rechtsakte aus. Die Bundesanstalt ist die zuständige Behörde gemäß Artikel 4 Absatz 1 Satz 1 der Richtlinie (EU) 2019/2034 und nach Artikel 46 der Verordnung (EU) 2022/2554. Die Bundesanstalt hat Missständen im Wertpapierwesen entgegenzuwirken, welche die Sicherheit der anvertrauten Vermögenswerte gefährden, die ordnungsmäßige Durchführung der erbrachten Wertpapierdienstleistungen, Wertpapiernebendienstleistungen oder Nebengeschäfte beeinträchtigen oder erhebliche Nachteile für die Gesamtwirtschaft herbeiführen könnten. Die Bundesanstalt und die Deutsche Bundesbank arbeiten bei der Durchführung der Aufgaben nach den Artikeln 26 und 27 der Verordnung (EU) 2022/2554 zusammen. Die Deutsche Bundesbank nimmt die operativen Aufgaben nach den Artikeln 26 und 27 der Verordnung (EU) 2022/2554 wahr. § 7 Absatz 3 und 4 des Kreditwesengesetzes gilt entsprechend.</w:t>
      </w:r>
    </w:p>
    <w:p>
      <w:r>
        <w:t xml:space="preserve">(2) Die Bundesanstalt kann im Rahmen der ihr gesetzlich zugewiesenen Aufgaben gegenüber Wertpapierinstituten und anderen betroffenen natürlichen und juristischen Personen, insbesondere auch gegenüber Geschäftsleitern oder Mitgliedern des Verwaltungs- und Aufsichtsorgans, Anordnungen treffen, die geeignet und erforderlich sind, um Verstöße gegen Bestimmungen der in Absatz 1 Satz 1 genannten Vorschriften oder sonstige aufsichtsrechtliche Bestimmungen oder die in Absatz 1 Satz 2 genannten Missstände zu verhindern oder zu beseitigen. Bei Verstößen gegen die in Absatz 1 Satz 1 genannten Vorschriften sowie gegen vollziehbare Anordnungen der Bundesanstalt kann sie verlangen, dass die den Verstoß begründenden Handlungen oder Verhaltensweisen dauerhaft eingestellt werden. Die Anordnungsbefugnis nach Satz 1 oder 2 besteht insbesondere auch gegenüber Investmentholdinggesellschaften oder gemischten Finanzholdinggesellschaften sowie gegenüber den Personen, die die Geschäfte dieser Gesellschaften tatsächlich führen.</w:t>
      </w:r>
    </w:p>
    <w:p>
      <w:r>
        <w:t xml:space="preserve">(3) Bei einem Verstoß gegen die in Absatz 1 Satz 1 genannten Vorschriften oder eine sich auf diese Vorschriften beziehende oder zur Behebung von Missständen erlassene vollziehbare Anordnung der Bundesanstalt kann die Bundesanstalt insbesondere</w:t>
      </w:r>
    </w:p>
    <w:p>
      <w:pPr>
        <w:ind w:left="420"/>
      </w:pPr>
      <w:r>
        <w:t xml:space="preserve">1. auf ihrer Internetseite eine Warnung unter Nennung der natürlichen oder juristischen Person oder der Personenvereinigung, die für den Verstoß verantwortlich ist, sowie der Art des Verstoßes veröffentlichen,</w:t>
      </w:r>
    </w:p>
    <w:p>
      <w:pPr>
        <w:ind w:left="420"/>
      </w:pPr>
      <w:r>
        <w:t xml:space="preserve">2. einem Geschäftsleiter oder Mitglied des Verwaltungs- oder Aufsichtsorgans eines Wertpapierinstituts oder jeder anderen natürlichen Person, die für einen vorsätzlichen Verstoß oder Missstand verantwortlich ist, für einen Zeitraum von bis zu zwei Jahren die Ausübung der Berufstätigkeit bei Unternehmen, die der Aufsicht nach diesem Gesetz oder dem Kreditwesengesetz unterliegen, untersagen.</w:t>
      </w:r>
    </w:p>
    <w:p>
      <w:r>
        <w:t xml:space="preserve">Im Falle des Satzes 1 Nummer 1 gilt § 84 Absatz 3 entsprechend.</w:t>
      </w:r>
    </w:p>
    <w:p>
      <w:r>
        <w:t xml:space="preserve">(4) Ein Wertpapierinstitut, ein Mutterunternehmen oder ein Auslagerungsunternehmen, dessen Geschäftsleiter oder Mitglieder des Verwaltungs- oder Aufsichtsorgans und dessen Beschäftigte haben der Bundesanstalt, den Personen und Einrichtungen, derer sich die Bundesanstalt bei der Durchführung ihrer Aufgaben bedient, sowie der Deutschen Bundesbank auf Verlangen Auskünfte über alle Geschäftsangelegenheiten zu erteilen, Unterlagen vorzulegen und erforderlichenfalls Kopien anzufertigen und auszuhändigen; Mitglieder eines Organs und Beschäftigte haben auf Verlangen auch nach ihrem Ausscheiden aus dem Organ, dem Wertpapierinstitut oder dem Unternehmen Auskunft zu erteilen und Unterlagen vorzulegen. Die Bundesanstalt kann, auch ohne besonderen Anlass, bei einem Wertpapierinstitut, Mutterunternehmen oder Auslagerungsunternehmen Prüfungen vornehmen und die Durchführung der Prüfungen der Deutschen Bundesbank übertragen. Die Bediensteten der Bundesanstalt, der Deutschen Bundesbank sowie die sonstigen Personen, derer sich die Bundesanstalt oder die Deutsche Bundesbank bei der Durchführung der Prüfungen bedient, können hierzu die Räume des Wertpapierinstituts, Mutterunternehmens oder Auslagerungsunternehmens innerhalb der üblichen Betriebs- und Geschäftszeiten betreten und besichtigen. Zur Verhütung dringender Gefahren für die öffentliche Sicherheit sind sie befugt, diese Räume auch außerhalb der üblichen Betriebs- und Geschäftszeiten sowie Räume, die auch als Wohnung dienen, zu betreten und zu besichtigen; das Grundrecht auf Unverletzlichkeit der Wohnung (Artikel 13 Absatz 1 des Grundgesetzes) wird insoweit eingeschränkt. Die Betroffenen haben Maßnahmen nach den Sätzen 2 bis 4 zu dulden. Die Sätze 1 bis 5 gelten entsprechend für ein nicht in die Konsolidierung einbezogenes Tochterunternehmen, dessen Tochterunternehmen sowie für ein gemischtes Unternehmen und dessen Tochterunternehmen.</w:t>
      </w:r>
    </w:p>
    <w:p>
      <w:r>
        <w:t xml:space="preserve">(5) Die Verpflichtung nach Absatz 4 gegenüber der Bundesanstalt und der Deutschen Bundesbank zur Auskunft und zur Vorlage von Unterlagen gilt auch für</w:t>
      </w:r>
    </w:p>
    <w:p>
      <w:pPr>
        <w:ind w:left="420"/>
      </w:pPr>
      <w:r>
        <w:t xml:space="preserve">1. Personen und Unternehmen, die eine Beteiligungsabsicht nach § 24 anzeigen oder die im Rahmen eines Erlaubnisantrags nach Artikel 3 der Delegierten Verordnung 2017/1943 der Kommission vom 14. Juli 2016 zur Ergänzung der Richtlinie 2014/65/EU des Europäischen Parlaments und des Rates durch technische Regulierungsstandards in Bezug auf Informationen und Anforderungen für die Zulassung von Wertpapierfirmen (ABl. L 276 vom 26.10.2017, S. 4; L 292 vom 10.11.2017, S. 119) als Inhaber bedeutender Beteiligungen angegeben werden,</w:t>
      </w:r>
    </w:p>
    <w:p>
      <w:pPr>
        <w:ind w:left="420"/>
      </w:pPr>
      <w:r>
        <w:t xml:space="preserve">2. die Inhaber einer bedeutenden Beteiligung an dem Wertpapierinstitut und den von ihnen kontrollierten Unternehmen,</w:t>
      </w:r>
    </w:p>
    <w:p>
      <w:pPr>
        <w:ind w:left="420"/>
      </w:pPr>
      <w:r>
        <w:t xml:space="preserve">3. Personen und Unternehmen, bei denen Tatsachen die Annahme rechtfertigen, dass es sich um Personen oder Unternehmen im Sinne der Nummer 2 handelt, und</w:t>
      </w:r>
    </w:p>
    <w:p>
      <w:pPr>
        <w:ind w:left="420"/>
      </w:pPr>
      <w:r>
        <w:t xml:space="preserve">4. Personen und Unternehmen, die mit einer Person oder einem Unternehmen im Sinne der Nummern 1 bis 3 nach § 15 des Aktiengesetzes verbunden sind.</w:t>
      </w:r>
    </w:p>
    <w:p>
      <w:r>
        <w:t xml:space="preserve">Die Auskunfts- und Vorlegungspflichten nach Satz 1 bestehen auch für Beschäftigte oder Mitglieder eines Organs einer solchen Person oder eines solchen Unternehmens. Mitglieder eines Organs und Beschäftigte haben auf Verlangen auch nach ihrem Ausscheiden aus dem Organ oder dem Unternehmen Auskunft zu erteilen und Unterlagen vorzulegen. Auf Verlangen der Bundesanstalt hat der Vorlagepflichtige die einzureichenden Unterlagen gemäß § 76 Absatz 1 auf seine Kosten durch einen von der Bundesanstalt zu bestimmenden Wirtschaftsprüfer prüfen zu lassen. Die Bundesanstalt kann Maßnahmen nach Absatz 4 Satz 2 und 3 gegenüber den in Satz 1 genannten Personen und Unternehmen ergreifen, wenn Anhaltspunkte für einen Untersagungsgrund nach § 26 Absatz 1 vorliegen. Die Betroffenen haben diese Maßnahmen zu dulden.</w:t>
      </w:r>
    </w:p>
    <w:p>
      <w:r>
        <w:t xml:space="preserve">(6) Wer nach Absatz 4 oder 5 zur Erteilung einer Auskunft verpflichtet ist, kann die Auskunft auf solche Fragen verweigern, deren Beantwortung ihn selbst oder einen der in § 383 Absatz 1 Nummer 1 bis 3 der Zivilprozessordnung bezeichneten Angehörigen der Gefahr strafrechtlicher Verfolgung oder eines Verfahrens nach dem Gesetz über Ordnungswidrigkeiten aussetzen würde. Die betroffene Person ist auf das Recht, die Auskunft zu verweigern, hinzuweisen.</w:t>
      </w:r>
    </w:p>
    <w:p>
      <w:r>
        <w:t xml:space="preserve">(7) Die Bundesanstalt kann zu den Hauptversammlungen, Generalversammlungen oder Gesellschafterversammlungen sowie zu den Sitzungen der Verwaltungs- oder Aufsichtsorgane von Wertpapierinstituten, Finanzholdinggesellschaften oder gemischten Investmentholdinggesellschaften in der Rechtsform einer juristischen Person Vertreter entsenden. Diese können in der Versammlung oder Sitzung das Wort ergreifen. Die Betroffenen haben Handlungen nach den Sätzen 1 und 2 zu dulden.</w:t>
      </w:r>
    </w:p>
    <w:p>
      <w:r>
        <w:t xml:space="preserve">(8) Die Bediensteten der Bundesanstalt und der Deutschen Bundesbank dürfen die Räume der nach der nach Absatz 4 Satz 1 auskunfts- und vorlegungspflichtigen Unternehmen sowie von deren Organmitgliedern auch nach ihrem Ausscheiden durchsuchen, wenn Tatsachen die Annahme rechtfertigen, dass das Unternehmen oder das Organmitglied entgegen einer Bestimmung dieses Gesetzes oder einer vollziehbaren Einzelfallregelung auf Grundlage dieses Gesetzes die Aufklärung eines für die Aufsicht nach Maßgabe dieses Gesetzes entscheidungsrelevanten Sachverhalts beeinträchtigt, gefährdet oder verzögert, dadurch dass sie oder es</w:t>
      </w:r>
    </w:p>
    <w:p>
      <w:pPr>
        <w:ind w:left="420"/>
      </w:pPr>
      <w:r>
        <w:t xml:space="preserve">1. Angaben nicht, nicht richtig, nicht vollständig oder nicht rechtzeitig macht oder</w:t>
      </w:r>
    </w:p>
    <w:p>
      <w:pPr>
        <w:ind w:left="420"/>
      </w:pPr>
      <w:r>
        <w:t xml:space="preserve">2. Unterlagen nicht, nicht richtig, nicht vollständig oder nicht rechtzeitig vorlegt.</w:t>
      </w:r>
    </w:p>
    <w:p>
      <w:r>
        <w:t xml:space="preserve">Die Durchsuchungen sind, außer bei Gefahr im Verzug, durch den Richter anzuordnen. Bei Gefahr im Verzug kann die Einsatzleitung der Bundesanstalt die Anordnung treffen, soweit nicht lediglich mit einer nur unerheblichen Verzögerung zu rechnen ist. Durchsuchungen von Räumen, die als Wohnung dienen, sind immer durch den Richter anzuordnen. Das Grundrecht auf Unverletzlichkeit der Wohnung (Artikel 13 Absatz 1 des Grundgesetzes) wird insoweit eingeschränkt. Zuständig ist das Amtsgericht, in dessen Bezirk sich die Räume befinden. Gegen die richterliche Entscheidung ist die Beschwerde zulässig; die §§ 306 bis 310 und 311a der Strafprozessordnung gelten entsprechend. Über die Durchsuchung ist eine Niederschrift zu fertigen. Sie muss die verantwortliche Dienststelle, Grund, Zeit und Ort der Durchsuchung und ihr Ergebnis und, falls keine richterliche Anordnung ergangen ist, auch die Tatsachen, welche die Annahme einer Gefahr im Verzug begründet haben, enthalten. Die Betroffenen haben Maßnahmen nach Satz 1 zu dulden.</w:t>
      </w:r>
    </w:p>
    <w:p>
      <w:r>
        <w:t xml:space="preserve">(9) Die Bediensteten der Bundesanstalt und der Deutschen Bundesbank dürfen Gegenstände sicherstellen, die als Beweismittel für die Ermittlung des Sachverhalts von Bedeutung sein können. Werden die Gegenstände für das Verwaltungsverfahren nicht mehr benötigt, so werden diese an den letzten Gewahrsamsinhaber herausgegeben. Die Betroffenen haben Maßnahmen nach Satz 1 zu dulden.</w:t>
      </w:r>
    </w:p>
    <w:p>
      <w:r>
        <w:rPr>
          <w:color w:val="555555"/>
          <w:sz w:val="17"/>
        </w:rPr>
        <w:t xml:space="preserve">Zitiervorschlag: § 5 WpIG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