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WpIG — Besondere Aufsichtsbefugnisse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25.06.2026 (konsolidierte Textfassung, kein amtliches Inkrafttretensdatum)</w:t>
      </w:r>
    </w:p>
    <w:p>
      <w:r>
        <w:t xml:space="preserve">Die Bundesanstalt kann, um Verstöße gegen dieses Gesetz oder die Verordnung (EU) 2019/2033 zu verhindern oder zu unterbinden, insbesondere zur Durchführung der §§ 46 bis 48 sowie der Verordnung (EU) 2019/2033, gegenüber einem Wertpapierinstitut anordnen,</w:t>
      </w:r>
    </w:p>
    <w:p>
      <w:pPr>
        <w:ind w:left="420"/>
      </w:pPr>
      <w:r>
        <w:t xml:space="preserve">1. unter den in § 50 festgelegten Bedingungen zusätzliche Eigenmittel zu halten, die über die Anforderungen in Artikel 11 der Verordnung (EU) 2019/2033 hinausgehen, oder die Anforderungen an Eigenmittel und liquide Aktiva im Falle wesentlicher Änderungen der Geschäftstätigkeiten dieses Wertpapierinstituts anzupassen,</w:t>
      </w:r>
    </w:p>
    <w:p>
      <w:pPr>
        <w:ind w:left="420"/>
      </w:pPr>
      <w:r>
        <w:t xml:space="preserve">2. die nach den §§ 39 und 41 eingeführten Regelungen, Verfahren, Mechanismen und Strategien zu verstärken,</w:t>
      </w:r>
    </w:p>
    <w:p>
      <w:pPr>
        <w:ind w:left="420"/>
      </w:pPr>
      <w:r>
        <w:t xml:space="preserve">3. binnen eines Jahres einen Plan vorzulegen, aus dem hervorgeht, wie die Aufsichtsanforderungen dieses Gesetzes und der Verordnung (EU) 2019/2033 erfüllt werden sollen, eine von der Bundesanstalt bestimmte Frist für die Durchführung dieses Plans einzuhalten und Nachbesserungen hinsichtlich seines Anwendungsbereichs und Zeitrahmens vorzunehmen,</w:t>
      </w:r>
    </w:p>
    <w:p>
      <w:pPr>
        <w:ind w:left="420"/>
      </w:pPr>
      <w:r>
        <w:t xml:space="preserve">4. eine angemessene Rückstellungspolitik oder Behandlung ihrer Vermögenswerte hinsichtlich der Kapitalanforderungen vorzunehmen,</w:t>
      </w:r>
    </w:p>
    <w:p>
      <w:pPr>
        <w:ind w:left="420"/>
      </w:pPr>
      <w:r>
        <w:t xml:space="preserve">5. die Geschäftsbereiche, die Tätigkeiten oder das Netzwerk des Wertpapierinstituts einzuschränken oder zu begrenzen oder Geschäftszweige, die für die Eigenmittelausstattung des Wertpapierinstituts mit zu großen Risiken verbunden sind, zu veräußern,</w:t>
      </w:r>
    </w:p>
    <w:p>
      <w:pPr>
        <w:ind w:left="420"/>
      </w:pPr>
      <w:r>
        <w:t xml:space="preserve">6. die mit den Tätigkeiten, Produkten und Systemen von Wertpapierinstituten verbundenen Risiken, auch der mit ausgelagerten Tätigkeiten verbundenen Risiken, zu verringern,</w:t>
      </w:r>
    </w:p>
    <w:p>
      <w:pPr>
        <w:ind w:left="420"/>
      </w:pPr>
      <w:r>
        <w:t xml:space="preserve">7. eine variable Vergütung als Prozentsatz der Nettoeinkünfte zu begrenzen, wenn diese Vergütung nicht mit der Aufrechterhaltung der erforderlichen Eigenmittelausstattung des Wertpapierinstituts zu vereinbaren ist,</w:t>
      </w:r>
    </w:p>
    <w:p>
      <w:pPr>
        <w:ind w:left="420"/>
      </w:pPr>
      <w:r>
        <w:t xml:space="preserve">8. Nettogewinne zur Stärkung der Eigenmittel einzusetzen,</w:t>
      </w:r>
    </w:p>
    <w:p>
      <w:pPr>
        <w:ind w:left="420"/>
      </w:pPr>
      <w:r>
        <w:t xml:space="preserve">9. Ausschüttungen oder Zinszahlungen eines Wertpapierinstituts an Anteilseigner, Gesellschafter oder Inhaber von Instrumenten des zusätzlichen Kernkapitals einzuschränken oder zu unterlassen, wenn ein solches Verbot für das Wertpapierinstitut kein Ausfallereignis darstellt,</w:t>
      </w:r>
    </w:p>
    <w:p>
      <w:pPr>
        <w:ind w:left="420"/>
      </w:pPr>
      <w:r>
        <w:t xml:space="preserve">10. Meldungen zusätzlich oder häufiger abzugeben als in diesem Gesetz und der Verordnung (EU) 2019/2033 vorgesehen, insbesondere zur Eigenmittel- und Liquiditätslage,</w:t>
      </w:r>
    </w:p>
    <w:p>
      <w:pPr>
        <w:ind w:left="420"/>
      </w:pPr>
      <w:r>
        <w:t xml:space="preserve">11. im Einklang mit § 52 besondere Liquiditätsanforderungen zu erfüllen,</w:t>
      </w:r>
    </w:p>
    <w:p>
      <w:pPr>
        <w:ind w:left="420"/>
      </w:pPr>
      <w:r>
        <w:t xml:space="preserve">12. ergänzende Informationen zu Verstößen gegen dieses Gesetz oder die Verordnung (EU) 2019/2033 zu übermitteln,</w:t>
      </w:r>
    </w:p>
    <w:p>
      <w:pPr>
        <w:ind w:left="420"/>
      </w:pPr>
      <w:r>
        <w:t xml:space="preserve">13. die Risiken für die Sicherheit der Netzwerke und Informationssysteme, die das Wertpapierinstitut zur Gewährleistung der Vertraulichkeit, Integrität und Verfügbarkeit seiner Verfahren, Daten und Vermögenswerte einsetzt, zu verringern und</w:t>
      </w:r>
    </w:p>
    <w:p>
      <w:pPr>
        <w:ind w:left="420"/>
      </w:pPr>
      <w:r>
        <w:t xml:space="preserve">14. die Risikopositionen des Wertpapierinstituts gegenüber dieser zentralen Gegenpartei zu verringern oder Risikopositionen über die Clearingkonten des Wertpapierinstituts gemäß Artikel 7a der Verordnung (EU) Nr. 648/2012 neu zuzuweisen, wenn sie der Auffassung ist, dass ein Risiko einer übermäßigen Konzentration besteht, das aus Risikopositionen gegenüber einer zentralen Gegenpartei erwächst.</w:t>
      </w:r>
    </w:p>
    <w:p>
      <w:r>
        <w:rPr>
          <w:color w:val="555555"/>
          <w:sz w:val="17"/>
        </w:rPr>
        <w:t xml:space="preserve">Zitiervorschlag: § 49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