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WpIG — Vergütungssystem; Verordnungsermächtigung</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Ein Wertpapierinstitut hat über Vergütungssysteme für Geschäftsleiter und Mitarbeiter, deren berufliche Tätigkeit sich wesentlich auf das Risikoprofil des Wertpapierinstituts oder der von ihr verwalteten Vermögenswerte auswirkt, zu verfügen, die angemessen, transparent und auf eine nachhaltige Entwicklung des Wertpapierinstituts ausgerichtet sind; dies gilt nicht, soweit die Vergütung durch Tarifvertrag oder in seinem Geltungsbereich durch Vereinbarung der Arbeitsvertragsparteien über die Anwendung der tarifvertraglichen Regelungen oder aufgrund eines Tarifvertrags in einer Betriebs- oder Dienstvereinbarung vereinbart ist.</w:t>
      </w:r>
    </w:p>
    <w:p>
      <w:r>
        <w:t xml:space="preserve">(2) Erhält ein Wertpapierinstitut eine außerordentliche finanzielle Unterstützung aus öffentlichen Mitteln im Sinne von § 2 Absatz 3 Nummer 9 des Sanierungs- und Abwicklungsgesetzes,</w:t>
      </w:r>
    </w:p>
    <w:p>
      <w:pPr>
        <w:ind w:left="420"/>
      </w:pPr>
      <w:r>
        <w:t xml:space="preserve">1. darf es den Geschäftsleitern keinerlei variable Vergütung gewähren und</w:t>
      </w:r>
    </w:p>
    <w:p>
      <w:pPr>
        <w:ind w:left="420"/>
      </w:pPr>
      <w:r>
        <w:t xml:space="preserve">2. muss es die variable Vergütung auf einen prozentualen Anteil der Nettoeinkünfte begrenzen, wenn eine variable Vergütung für Mitarbeiter, die nicht Geschäftsleiter sind, weder mit der Erhaltung der erforderlichen Eigenmittel des Wertpapierinstituts noch mit einer frühzeitigen Einstellung der außerordentlichen Unterstützung aus öffentlichen Mitteln zu vereinbaren ist.</w:t>
      </w:r>
    </w:p>
    <w:p>
      <w:r>
        <w:t xml:space="preserve">(3) Das Bundesministerium der Finanzen wird ermächtigt, durch Rechtsverordnung, die nicht der Zustimmung des Bundesrates bedarf, im Benehmen mit der Deutschen Bundesbank nähere Bestimmungen zu erlassen über</w:t>
      </w:r>
    </w:p>
    <w:p>
      <w:pPr>
        <w:ind w:left="420"/>
      </w:pPr>
      <w:r>
        <w:t xml:space="preserve">1. die Ermittlung der Mitarbeiter, deren berufliche Tätigkeit sich wesentlich auf das Risikoprofil des Wertpapierinstituts oder der von ihr verwalteten Vermögenswerte auswirkt,</w:t>
      </w:r>
    </w:p>
    <w:p>
      <w:pPr>
        <w:ind w:left="420"/>
      </w:pPr>
      <w:r>
        <w:t xml:space="preserve">2. die Entscheidungsprozesse und Verantwortlichkeiten für die Vergütungssysteme,</w:t>
      </w:r>
    </w:p>
    <w:p>
      <w:pPr>
        <w:ind w:left="420"/>
      </w:pPr>
      <w:r>
        <w:t xml:space="preserve">3. die Grundsätze für die angemessene Ausgestaltung der Vergütungssysteme nach Absatz 1, insbesondere</w:t>
      </w:r>
    </w:p>
    <w:p>
      <w:pPr>
        <w:ind w:left="780"/>
      </w:pPr>
      <w:r>
        <w:t xml:space="preserve">a) die Unterscheidung zwischen fixer und variabler Vergütung,</w:t>
      </w:r>
    </w:p>
    <w:p>
      <w:pPr>
        <w:ind w:left="780"/>
      </w:pPr>
      <w:r>
        <w:t xml:space="preserve">b) das Verhältnis der variablen zur fixen Vergütung,</w:t>
      </w:r>
    </w:p>
    <w:p>
      <w:pPr>
        <w:ind w:left="780"/>
      </w:pPr>
      <w:r>
        <w:t xml:space="preserve">c) die Grundsätze für die Gewährung einer variablen Vergütung, einschließlich positiver und negativer Vergütungsparameter, der Leistungszeiträume, Zurückbehaltungszeiträume und Rückforderungszeiträume einschließlich der Voraussetzungen und Parameter für einen vollständigen Verlust oder eine teilweise Reduzierung oder eine vollständige oder teilweise Rückforderung der variablen Vergütung sowie der Vergütungsinstrumente,</w:t>
      </w:r>
    </w:p>
    <w:p>
      <w:pPr>
        <w:ind w:left="420"/>
      </w:pPr>
      <w:r>
        <w:t xml:space="preserve">4. die Überwachung der Angemessenheit und Transparenz der Vergütungssysteme durch das Wertpapierinstitut, auch unter Einbeziehung des Vergütungskontrollausschusses, sofern vorhanden, und</w:t>
      </w:r>
    </w:p>
    <w:p>
      <w:pPr>
        <w:ind w:left="420"/>
      </w:pPr>
      <w:r>
        <w:t xml:space="preserve">5. die Anwendung von Bestimmungen nach den Nummern 1 bis 4 auf konsolidierter Basis in den Fällen, in denen dieser Abschnitt gilt und aufsichtliche Konsolidierung nach Artikel 7 der Verordnung (EU) 2019/2033 angewandt wird.</w:t>
      </w:r>
    </w:p>
    <w:p>
      <w:r>
        <w:t xml:space="preserve">Die Regelungen haben sich insbesondere an Größe und Vergütungsstruktur des Wertpapierinstituts sowie Art, Umfang, Komplexität, Risikogehalt und Internationalität der Geschäftsaktivitäten zu orientieren. Das Bundesministerium der Finanzen kann die Ermächtigung durch Rechtsverordnung, die nicht der Zustimmung des Bundesrates bedarf, auf die Bundesanstalt mit der Maßgabe übertragen, dass die Rechtsverordnung im Einvernehmen mit der Deutschen Bundesbank ergeht. Vor Erlass der Rechtsverordnung sind die Spitzenverbände der Wertpapierinstitute zu hören.</w:t>
      </w:r>
    </w:p>
    <w:p>
      <w:r>
        <w:rPr>
          <w:color w:val="555555"/>
          <w:sz w:val="17"/>
        </w:rPr>
        <w:t xml:space="preserve">Zitiervorschlag: § 46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