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WpIG — Länderspezifische Berichterstattung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In Deutschland zugelassene Wertpapierinstitute, die in anderen Vertragsstaaten oder in Drittstaaten über Zweigniederlassungen oder über Tochterunternehmen verfügen, die als Finanzinstitut gemäß Artikel 4 Absatz 1 Nummer 26 der Verordnung (EU) Nr. 575/2013 einzustufen sind, haben jährlich, aufgeschlüsselt nach Mitgliedstaaten der Europäischen Union und Drittstaaten, die folgenden Angaben in eine Anlage zum Jahresabschluss im Sinne des § 76 Absatz 1 Satz 2 aufzunehmen, sie nach Maßgabe des § 340k des Handelsgesetzbuchs prüfen zu lassen und offenzulegen:</w:t>
      </w:r>
    </w:p>
    <w:p>
      <w:pPr>
        <w:ind w:left="420"/>
      </w:pPr>
      <w:r>
        <w:t xml:space="preserve">1. Firma, Art der Tätigkeiten und Sitz sämtlicher Tochterunternehmen und Zweigniederlassungen,</w:t>
      </w:r>
    </w:p>
    <w:p>
      <w:pPr>
        <w:ind w:left="420"/>
      </w:pPr>
      <w:r>
        <w:t xml:space="preserve">2. den Umsatz,</w:t>
      </w:r>
    </w:p>
    <w:p>
      <w:pPr>
        <w:ind w:left="420"/>
      </w:pPr>
      <w:r>
        <w:t xml:space="preserve">3. die Anzahl der Lohn- und Gehaltsempfänger in Vollzeitäquivalenten,</w:t>
      </w:r>
    </w:p>
    <w:p>
      <w:pPr>
        <w:ind w:left="420"/>
      </w:pPr>
      <w:r>
        <w:t xml:space="preserve">4. den Gewinn oder Verlust vor Steuern,</w:t>
      </w:r>
    </w:p>
    <w:p>
      <w:pPr>
        <w:ind w:left="420"/>
      </w:pPr>
      <w:r>
        <w:t xml:space="preserve">5. die Steuern auf Gewinn oder Verlust und</w:t>
      </w:r>
    </w:p>
    <w:p>
      <w:pPr>
        <w:ind w:left="420"/>
      </w:pPr>
      <w:r>
        <w:t xml:space="preserve">6. die erhaltenen staatlichen Beihilfen.</w:t>
      </w:r>
    </w:p>
    <w:p>
      <w:r>
        <w:rPr>
          <w:color w:val="555555"/>
          <w:sz w:val="17"/>
        </w:rPr>
        <w:t xml:space="preserve">Zitiervorschlag: § 42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