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WpIG — Auslagerung von Aktivitäten und Prozessen; Verordnungsermächtigung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Ein Wertpapierinstitut muss abhängig von Art, Umfang, Komplexität und Risikogehalt einer Auslagerung von ausschlaggebenden und wichtigen betrieblichen Aufgaben im Sinne des Artikels 30 Absatz 1 der Delegierten Verordnung (EU) 2017/565 (wesentliche Auslagerung) angemessene Vorkehrungen treffen, um übermäßige zusätzliche Risiken zu vermeiden. Eine Auslagerung darf weder die Ordnungsmäßigkeit dieser Geschäfte und Dienstleistungen noch die Geschäftsorganisation beeinträchtigen. Insbesondere muss ein angemessenes und wirksames Risikomanagement durch das Wertpapierinstitut gewährleistet bleiben. Ein Wertpapierinstitut hat im Rahmen seines Risikomanagements ein Auslagerungsregister zu führen. Darin sind sämtliche wesentlichen und nicht wesentlichen Auslagerungen zu erfassen.</w:t>
      </w:r>
    </w:p>
    <w:p>
      <w:r>
        <w:t xml:space="preserve">(2) Nähere Bestimmungen zu wesentlichen Auslagerungen enthalten die Artikel 30 bis 32 der Delegierten Verordnung (EU) 2017/565. Hat bei einer wesentlichen Auslagerung ein Auslagerungsunternehmen seinen Sitz in einem Drittstaat, ist vertraglich sicherzustellen, dass das Auslagerungsunternehmen einen inländischen Zustellungsbevollmächtigten benennt, an den Bekanntgaben und Zustellungen durch die Bundesanstalt bewirkt werden können.</w:t>
      </w:r>
    </w:p>
    <w:p>
      <w:r>
        <w:t xml:space="preserve">(3) Die Bundesanstalt kann gegenüber einem Wertpapierinstitut und auch unmittelbar gegenüber einem Auslagerungsunternehmen, auf das wesentliche Auslagerungen erfolgt sind, im Einzelfall Anordnungen treffen, die geeignet und erforderlich sind,</w:t>
      </w:r>
    </w:p>
    <w:p>
      <w:pPr>
        <w:ind w:left="420"/>
      </w:pPr>
      <w:r>
        <w:t xml:space="preserve">1. um Verstöße gegen aufsichtsrechtliche Bestimmungen zu verhindern oder zu unterbinden,</w:t>
      </w:r>
    </w:p>
    <w:p>
      <w:pPr>
        <w:ind w:left="420"/>
      </w:pPr>
      <w:r>
        <w:t xml:space="preserve">2. um eine Beeinträchtigung der Prüfungsrechte oder Kontrollmöglichkeiten der Bundesanstalt zu beseitigen oder</w:t>
      </w:r>
    </w:p>
    <w:p>
      <w:pPr>
        <w:ind w:left="420"/>
      </w:pPr>
      <w:r>
        <w:t xml:space="preserve">3. um Missstände bei dem Wertpapierinstitut oder Auslagerungsunternehmen zu verhindern oder zu beseitigen, welche die Sicherheit der dem Wertpapierinstitut anvertrauten Vermögenswerte gefährden können oder die ordnungsgemäße Durchführung der Wertpapierdienstleistungen, Wertpapiernebendienstleistungen oder Nebengeschäfte beeinträchtigen.</w:t>
      </w:r>
    </w:p>
    <w:p>
      <w:r>
        <w:t xml:space="preserve">(4) Das Bundesministerium der Finanzen wird ermächtigt, durch Rechtsverordnung, die nicht der Zustimmung des Bundesrates bedarf, im Benehmen mit der Deutschen Bundesbank ergänzend zu den Vorgaben in den Artikeln 30 bis 32 der Delegierten Verordnung (EU) 2017/565 nähere Bestimmungen zu erlassen über</w:t>
      </w:r>
    </w:p>
    <w:p>
      <w:pPr>
        <w:ind w:left="420"/>
      </w:pPr>
      <w:r>
        <w:t xml:space="preserve">1. das Vorliegen einer Auslagerung,</w:t>
      </w:r>
    </w:p>
    <w:p>
      <w:pPr>
        <w:ind w:left="420"/>
      </w:pPr>
      <w:r>
        <w:t xml:space="preserve">2. die bei einer Auslagerung zu treffenden Vorkehrungen zur Vermeidung übermäßiger zusätzlicher Risiken,</w:t>
      </w:r>
    </w:p>
    <w:p>
      <w:pPr>
        <w:ind w:left="420"/>
      </w:pPr>
      <w:r>
        <w:t xml:space="preserve">3. die Grenzen der Auslagerbarkeit,</w:t>
      </w:r>
    </w:p>
    <w:p>
      <w:pPr>
        <w:ind w:left="420"/>
      </w:pPr>
      <w:r>
        <w:t xml:space="preserve">4. die Einbeziehung der Auslagerungen in das Risikomanagement sowie</w:t>
      </w:r>
    </w:p>
    <w:p>
      <w:pPr>
        <w:ind w:left="420"/>
      </w:pPr>
      <w:r>
        <w:t xml:space="preserve">5. die Ausgestaltung der Auslagerungsverträge.</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rPr>
          <w:color w:val="555555"/>
          <w:sz w:val="17"/>
        </w:rPr>
        <w:t xml:space="preserve">Zitiervorschlag: § 40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