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WpIG — Verbotene Geschäfte</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Einem Wertpapierinstitut sind verboten:</w:t>
      </w:r>
    </w:p>
    <w:p>
      <w:pPr>
        <w:ind w:left="420"/>
      </w:pPr>
      <w:r>
        <w:t xml:space="preserve">1. die Aufnahme oder Fortführung einer Korrespondenz- oder sonstigen Geschäftsbeziehung mit einer Bank-Mantelgesellschaft nach § 1 Absatz 22 des Geldwäschegesetzes und</w:t>
      </w:r>
    </w:p>
    <w:p>
      <w:pPr>
        <w:ind w:left="420"/>
      </w:pPr>
      <w:r>
        <w:t xml:space="preserve">2. die Errichtung und Führung von solchen Konten auf den Namen desselben oder eines anderen Wertpapierinstituts, über die die Kunden desselben oder eines anderen Wertpapierinstituts zur Durchführung von eigenen Transaktionen eigenständig verfügen können; § 154 Absatz 1 der Abgabenordnung bleibt unberührt.</w:t>
      </w:r>
    </w:p>
    <w:p>
      <w:r>
        <w:rPr>
          <w:color w:val="555555"/>
          <w:sz w:val="17"/>
        </w:rPr>
        <w:t xml:space="preserve">Zitiervorschlag: § 37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