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WpIG — Verpflichtungen von Wertpapierinstituten bei der Bestellung vertraglich gebundener Vermittler</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Bedient sich ein Wertpapierinstitut eines vertraglich gebundenen Vermittlers, hat das Wertpapierinstitut sicherzustellen, dass der Vermittler zuverlässig und fachlich geeignet ist, bei der Erbringung der Wertpapierdienstleistung die gesetzlichen Vorgaben erfüllt, Kunden vor Aufnahme der Geschäftsbeziehung über seinen Status nach § 3 Absatz 2 Satz 1 und 2 informiert und unverzüglich von der Beendigung dieses Status in Kenntnis setzt.</w:t>
      </w:r>
    </w:p>
    <w:p>
      <w:r>
        <w:t xml:space="preserve">(2) Das Wertpapierinstitut hat Nachweise für die Erfüllung seiner Pflichten nach Absatz 1 zu führen und diese Nachweise bis zum Ablauf von fünf Jahren nach dem Ende des Status des vertraglich gebundenen Vermittlers aufzubewahren.</w:t>
      </w:r>
    </w:p>
    <w:p>
      <w:r>
        <w:t xml:space="preserve">(3) Die Bundesanstalt kann einem Wertpapierinstitut, das die Auswahl oder Überwachung seiner vertraglich gebundenen Vermittler nicht ordnungsgemäß durchgeführt hat oder die ihm im Zusammenhang mit der Führung des Registers nach § 3 Absatz 2 Satz 6 übertragenen Pflichten verletzt hat, untersagen, sich vertraglich gebundener Vermittler zu bedienen. Satz 1 findet auch Anwendung auf inländische vertraglich gebundene Vermittler eines Wertpapierinstituts mit Sitz in einem anderen Vertragsstaat.</w:t>
      </w:r>
    </w:p>
    <w:p>
      <w:r>
        <w:t xml:space="preserve">(4) Das Bundesministerium der Finanzen wird ermächtigt, durch Rechtsverordnung, die nicht der Zustimmung des Bundesrates bedarf, nähere Anforderungen an die Zuverlässigkeit und die fachliche Eignung der vertraglich gebundenen Vermittler sowie die erforderlichen Nachweise und die Art und Weise zur Übermittlung der betreffenden Daten zu regeln. Das Bundesministerium der Finanzen kann die Ermächtigung auf die Bundesanstalt übertragen. Vor Erlass der Rechtsverordnung sind die Spitzenverbände der Wertpapierinstitute anzuhören.</w:t>
      </w:r>
    </w:p>
    <w:p>
      <w:r>
        <w:rPr>
          <w:color w:val="555555"/>
          <w:sz w:val="17"/>
        </w:rPr>
        <w:t xml:space="preserve">Zitiervorschlag: § 28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