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WpIG — Beurteilungszeitraum</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Die Bundesanstalt hat die Anzeige nach § 24 Absatz 1 innerhalb von 60 Arbeitstagen ab dem Datum des Schreibens, mit dem sie den Eingang der vollständigen Anzeige bestätigt hat, zu beurteilen (Beurteilungszeitraum). Bis spätestens zum 50. Arbeitstag innerhalb des Beurteilungszeitraums kann die Bundesanstalt weitere Informationen anfordern, die für den Abschluss der Beurteilung notwendig sind. Die Anforderung ergeht unter Angabe der zusätzlich benötigten Informationen. Die Bundesanstalt hat den Eingang der weiteren Informationen umgehend, spätestens jedoch innerhalb von zwei Arbeitstagen nach deren Zugang gegenüber dem Anzeigepflichtigen zu bestätigen. Der Beurteilungszeitraum ist vom Zeitpunkt der Anforderung der weiteren Informationen bis zu deren Eingang bei der Bundesanstalt gehemmt. Der Beurteilungszeitraum beträgt im Falle einer Hemmung nach Satz 5 höchstens 80 Arbeitstage. Die Bundesanstalt kann Ergänzungen oder Klarstellungen zu diesen Informationen anfordern; dies führt nicht zu einer erneuten Hemmung des Beurteilungszeitraums. Abweichend von Satz 6 kann der Beurteilungszeitraum im Falle einer Hemmung auf höchstens 90 Arbeitstage ausgedehnt werden, wenn der Anzeigepflichtige</w:t>
      </w:r>
    </w:p>
    <w:p>
      <w:pPr>
        <w:ind w:left="420"/>
      </w:pPr>
      <w:r>
        <w:t xml:space="preserve">1. außerhalb des Europäischen Wirtschaftsraums ansässig ist oder beaufsichtigt wird oder</w:t>
      </w:r>
    </w:p>
    <w:p>
      <w:pPr>
        <w:ind w:left="420"/>
      </w:pPr>
      <w:r>
        <w:t xml:space="preserve">2. keine der Beaufsichtigung unterliegende natürliche Person oder kein der Beaufsichtigung unterliegendes Unternehmen ist nach</w:t>
      </w:r>
    </w:p>
    <w:p>
      <w:pPr>
        <w:ind w:left="780"/>
      </w:pPr>
      <w:r>
        <w:t xml:space="preserve">a) der Richtlinie 2009/65/EG,</w:t>
      </w:r>
    </w:p>
    <w:p>
      <w:pPr>
        <w:ind w:left="780"/>
      </w:pPr>
      <w:r>
        <w:t xml:space="preserve">b) der Richtlinie 2009/138/EG des Europäischen Parlaments und des Rates vom 25. November 2009 betreffend die Aufnahme und Ausübung der Versicherungs- und der Rückversicherungstätigkeit (Solvabilität II) (ABl. L 335 vom 17.12.2009, S. 1; L 219 vom 25.7.2014, S. 66; L 108 vom 28.4.2015, S. 8), die zuletzt durch die Richtlinie (EU) 2018/843 (ABl. L 156 vom 19.6.2018, S. 43) geändert worden ist,</w:t>
      </w:r>
    </w:p>
    <w:p>
      <w:pPr>
        <w:ind w:left="780"/>
      </w:pPr>
      <w:r>
        <w:t xml:space="preserve">c) der Richtlinie 2014/65/EU des Europäischen Parlaments und des Rates vom 15. Mai 2014 über Märkte für Finanzinstrumente sowie zur Änderung der Richtlinien 2002/92/EG und 2011/61/EU (ABl. L 173 vom 12.6.2014, S. 349; L 74 vom 18.3.2015, S. 38; L 188 vom 13.7.2016, S. 28; L 273 vom 8.10.2016, S. 35; L 64 vom 10.3.2017, S. 116; L 278 vom 27.10.2017, S. 56), die zuletzt durch die Verordnung (EU) 2019/2115 (ABl. L 320 vom 11.12.2019, S. 1) geändert worden ist, oder</w:t>
      </w:r>
    </w:p>
    <w:p>
      <w:pPr>
        <w:ind w:left="780"/>
      </w:pPr>
      <w:r>
        <w:t xml:space="preserve">d) der Richtlinie 2013/36/EU.</w:t>
      </w:r>
    </w:p>
    <w:p>
      <w:r>
        <w:rPr>
          <w:color w:val="555555"/>
          <w:sz w:val="17"/>
        </w:rPr>
        <w:t xml:space="preserve">Zitiervorschlag: § 25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