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WpIG — Begriffsbestimmungen</w:t>
      </w:r>
    </w:p>
    <w:p>
      <w:r>
        <w:rPr>
          <w:color w:val="555555"/>
          <w:sz w:val="18"/>
        </w:rPr>
        <w:t xml:space="preserve">Wertpapierinstitutsgesetz</w:t>
      </w:r>
    </w:p>
    <w:p>
      <w:r>
        <w:rPr>
          <w:color w:val="555555"/>
          <w:sz w:val="18"/>
        </w:rPr>
        <w:t xml:space="preserve">Stand: 25.06.2026 (konsolidierte Textfassung, kein amtliches Inkrafttretensdatum)</w:t>
      </w:r>
    </w:p>
    <w:p>
      <w:r>
        <w:t xml:space="preserve">(1) Ein Wertpapierinstitut ist ein Unternehmen, das gewerbsmäßig oder in einem Umfang, der einen in kaufmännischer Weise eingerichteten Geschäftsbetrieb erfordert, Wertpapierdienstleistungen allein oder zusammen mit Wertpapiernebendienstleistungen oder Nebengeschäften erbringt.</w:t>
      </w:r>
    </w:p>
    <w:p>
      <w:r>
        <w:t xml:space="preserve">(2) Wertpapierdienstleistungen im Sinne dieses Gesetzes sind</w:t>
      </w:r>
    </w:p>
    <w:p>
      <w:pPr>
        <w:ind w:left="420"/>
      </w:pPr>
      <w:r>
        <w:t xml:space="preserve">1. die Anschaffung oder Veräußerung von Finanzinstrumenten im eigenen Namen für fremde Rechnung (Finanzkommissionsgeschäft),</w:t>
      </w:r>
    </w:p>
    <w:p>
      <w:pPr>
        <w:ind w:left="420"/>
      </w:pPr>
      <w:r>
        <w:t xml:space="preserve">2. die Übernahme von Finanzinstrumenten für eigenes Risiko zur Platzierung oder die Übernahme gleichwertiger Garantien (Emissionsgeschäft),</w:t>
      </w:r>
    </w:p>
    <w:p>
      <w:pPr>
        <w:ind w:left="420"/>
      </w:pPr>
      <w:r>
        <w:t xml:space="preserve">3. die Vermittlung von Geschäften über die Anschaffung und die Veräußerung von Finanzinstrumenten (Anlagevermittlung),</w:t>
      </w:r>
    </w:p>
    <w:p>
      <w:pPr>
        <w:ind w:left="420"/>
      </w:pPr>
      <w:r>
        <w:t xml:space="preserve">4. die Abgabe von persönlichen Empfehlungen im Sinne des Artikels 9 der Delegierten Verordnung (EU) 2017/565 der Kommission vom 25. April 2016 zur Ergänzung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87 vom 31.3.2017, S. 1; L 246 vom 26.9.2017, S. 12; L 82 vom 26.3.2018, S. 18), die zuletzt durch die Delegierte Verordnung (EU) 2019/1011 (ABl. L 165 vom 21.6.2019, S. 1) geändert worden ist, an Kunden oder deren Vertreter, die sich auf Geschäfte mit bestimmten Finanzinstrumenten beziehen, sofern die Empfehlung auf eine Prüfung der persönlichen Umstände des Anlegers gestützt oder als für ihn geeignet dargestellt wird und nicht ausschließlich über Informationsverbreitungskanäle oder für die Öffentlichkeit bekannt gegeben wird (Anlageberatung),</w:t>
      </w:r>
    </w:p>
    <w:p>
      <w:pPr>
        <w:ind w:left="420"/>
      </w:pPr>
      <w:r>
        <w:t xml:space="preserve">5. die Anschaffung oder Veräußerung von Finanzinstrumenten in fremdem Namen für fremde Rechnung (Abschlussvermittlung),</w:t>
      </w:r>
    </w:p>
    <w:p>
      <w:pPr>
        <w:ind w:left="420"/>
      </w:pPr>
      <w:r>
        <w:t xml:space="preserve">6. der Betrieb eines multilateralen Systems, das die Interessen einer Vielzahl von Personen am Kauf und Verkauf von Finanzinstrumenten innerhalb des Systems und nach nichtdiskretionären Bestimmungen in einer Weise zusammenbringt, die zu einem Vertrag über den Kauf dieser Finanzinstrumente führt (Betrieb eines multilateralen Handelssystems),</w:t>
      </w:r>
    </w:p>
    <w:p>
      <w:pPr>
        <w:ind w:left="420"/>
      </w:pPr>
      <w:r>
        <w:t xml:space="preserve">7. der Betrieb eines multilateralen Systems, bei dem es sich nicht um einen organisierten Markt oder ein multilaterales Handelssystem handelt und das die Interessen einer Vielzahl Dritter am Kauf und Verkauf von Schuldverschreibungen, strukturierten Finanzprodukten, Emissionszertifikaten oder Derivaten innerhalb des Systems auf eine Weise zusammenführt, die zu einem Vertrag über den Kauf dieser Finanzinstrumente führt (Betrieb eines organisierten Handelssystems),</w:t>
      </w:r>
    </w:p>
    <w:p>
      <w:pPr>
        <w:ind w:left="420"/>
      </w:pPr>
      <w:r>
        <w:t xml:space="preserve">8. die Platzierung von Finanzinstrumenten ohne feste Übernahmeverpflichtung (Platzierungsgeschäft),</w:t>
      </w:r>
    </w:p>
    <w:p>
      <w:pPr>
        <w:ind w:left="420"/>
      </w:pPr>
      <w:r>
        <w:t xml:space="preserve">9. die Verwaltung einzelner oder mehrerer in Finanzinstrumenten angelegter Vermögen für andere mit Entscheidungsspielraum (Finanzportfolioverwaltung),</w:t>
      </w:r>
    </w:p>
    <w:p>
      <w:pPr>
        <w:ind w:left="420"/>
      </w:pPr>
      <w:r>
        <w:t xml:space="preserve">10. der Eigenhandel durch das</w:t>
      </w:r>
    </w:p>
    <w:p>
      <w:pPr>
        <w:ind w:left="780"/>
      </w:pPr>
      <w:r>
        <w:t xml:space="preserve">a) kontinuierliche Anbieten des An- und Verkaufs von Finanzinstrumenten an den Finanzmärkten zu selbst gestellten Preisen für eigene Rechnung unter Einsatz des eigenen Kapitals (Market-Making),</w:t>
      </w:r>
    </w:p>
    <w:p>
      <w:pPr>
        <w:ind w:left="780"/>
      </w:pPr>
      <w:r>
        <w:t xml:space="preserve">b) häufige organisierte und systematische Betreiben von Handel mit Aktien, Aktienzertifikaten, börsengehandelten Fonds, Zertifikaten und anderen vergleichbaren Finanzinstrumenten für eigene Rechnung außerhalb eines organisierten Marktes oder eines multilateralen oder organisierten Handelssystems, wenn Kundenaufträge außerhalb eines geregelten Marktes oder eines multilateralen oder organisierten Handelssystems ausgeführt werden, ohne dass ein multilaterales Handelssystem betrieben wird (systematische Internalisierung),</w:t>
      </w:r>
    </w:p>
    <w:p>
      <w:pPr>
        <w:ind w:left="780"/>
      </w:pPr>
      <w:r>
        <w:t xml:space="preserve">c) Anschaffen oder Veräußern von Finanzinstrumenten für eigene Rechnung als Dienstleistung für andere oder</w:t>
      </w:r>
    </w:p>
    <w:p>
      <w:pPr>
        <w:ind w:left="780"/>
      </w:pPr>
      <w:r>
        <w:t xml:space="preserve">d) Kaufen oder Verkaufen von Finanzinstrumenten für eigene Rechnung als unmittelbarer oder mittelbarer Teilnehmer eines inländischen organisierten Marktes oder eines multilateralen oder organisierten Handelssystems mittels einer hochfrequenten algorithmischen Handelstechnik, die gekennzeichnet ist durch</w:t>
      </w:r>
    </w:p>
    <w:p>
      <w:pPr>
        <w:ind w:left="1140"/>
      </w:pPr>
      <w:r>
        <w:t xml:space="preserve">aa) eine Infrastruktur zur Minimierung von Netzwerklatenzen und anderen Verzögerungen bei der Orderübertragung (Latenzen), die mindestens eine der folgenden Vorrichtungen für die Eingabe algorithmischer Aufträge aufweist:</w:t>
      </w:r>
    </w:p>
    <w:p>
      <w:pPr>
        <w:ind w:left="1500"/>
      </w:pPr>
      <w:r>
        <w:t xml:space="preserve">aaa) Kollokation,</w:t>
      </w:r>
    </w:p>
    <w:p>
      <w:pPr>
        <w:ind w:left="1500"/>
      </w:pPr>
      <w:r>
        <w:t xml:space="preserve">bbb) Proximity Hosting oder</w:t>
      </w:r>
    </w:p>
    <w:p>
      <w:pPr>
        <w:ind w:left="1500"/>
      </w:pPr>
      <w:r>
        <w:t xml:space="preserve">ccc) direkter elektronischer Hochgeschwindigkeitszugang,</w:t>
      </w:r>
    </w:p>
    <w:p>
      <w:pPr>
        <w:ind w:left="1140"/>
      </w:pPr>
      <w:r>
        <w:t xml:space="preserve">bb) die Fähigkeit des Systems, einen Auftrag ohne menschliche Intervention im Sinne des Artikels 18 der Delegierten Verordnung (EU) 2017/565 einzuleiten, zu erzeugen, weiterzuleiten oder auszuführen und</w:t>
      </w:r>
    </w:p>
    <w:p>
      <w:pPr>
        <w:ind w:left="1140"/>
      </w:pPr>
      <w:r>
        <w:t xml:space="preserve">cc) ein hohes untertägiges Mitteilungsaufkommen im Sinne des Artikels 19 der Delegierten Verordnung (EU) 2017/565 in Form von Aufträgen, Kursangaben oder Stornierungen,</w:t>
      </w:r>
    </w:p>
    <w:p>
      <w:pPr>
        <w:ind w:left="780"/>
      </w:pPr>
      <w:r>
        <w:t xml:space="preserve">auch ohne dass eine Dienstleistung für andere vorliegt (Hochfrequenzhandel). Die Voraussetzungen der systematischen Internalisierung nach Satz 1 Nummer 10 Buchstabe b sind auch dann erfüllt, wenn ein Unternehmen sich freiwillig den für die systematische Internalisierung geltenden Regelungen unterworfen und eine Erlaubnis zum Betreiben der systematischen Internalisierung bei der Bundesanstalt beantragt hat. Dies gilt auch für die systematische Internalisierung von Schuldverschreibungen, strukturierten Finanzprodukten und Emissionszertifikaten sowie von den in Artikel 8a Absatz 2 Satz 1 der Verordnung (EU) Nr. 600/2014 genannten Derivaten.</w:t>
      </w:r>
    </w:p>
    <w:p>
      <w:r>
        <w:t xml:space="preserve">(3) Wertpapiernebendienstleistungen im Sinne dieses Gesetzes sind</w:t>
      </w:r>
    </w:p>
    <w:p>
      <w:pPr>
        <w:ind w:left="420"/>
      </w:pPr>
      <w:r>
        <w:t xml:space="preserve">1. die Verwahrung und die Verwaltung von Finanzinstrumenten mit Ausnahme von Rechnungseinheiten für andere, einschließlich Depotverwahrung und verbundener Dienstleistungen wie Cash Management oder die Verwaltung von Sicherheiten mit Ausnahme der Bereitstellung und Führung von Wertpapierkonten auf oberster Ebene (zentrale Kontenführung) gemäß Abschnitt A Nummer 2 des Anhangs zur Verordnung (EU) Nr. 909/2014 des Europäischen Parlaments und des Rates vom 23. Juli 2014 zur Verbesserung der Wertpapierlieferungen und -abrechnungen in der Europäischen Union und über Zentralverwahrer sowie zur Änderung der Richtlinien 98/26/EG und 2014/65/EU und der Verordnung (EU) Nr. 236/2012 (ABl. L 257 vom 28.8.2014, S. 1; L 349 vom 21.12.2016, S. 5), die zuletzt durch die Verordnung (EU) 2016/1033 (ABl. L 175 vom 30.6.2016, S. 1) geändert worden ist,</w:t>
      </w:r>
    </w:p>
    <w:p>
      <w:pPr>
        <w:ind w:left="420"/>
      </w:pPr>
      <w:r>
        <w:t xml:space="preserve">2. die Gewährung von Darlehen oder anderen Krediten an andere für die Durchführung von Wertpapierdienstleistungen, sofern das Unternehmen, das die Kredite oder Darlehen gewährt, an diesen Geschäften beteiligt ist,</w:t>
      </w:r>
    </w:p>
    <w:p>
      <w:pPr>
        <w:ind w:left="420"/>
      </w:pPr>
      <w:r>
        <w:t xml:space="preserve">3. die Beratung von Unternehmen über die Kapitalstruktur, die industrielle Strategie sowie die Beratung und das Angebot von Dienstleistungen bei Unternehmenskäufen und Unternehmenszusammenschlüssen,</w:t>
      </w:r>
    </w:p>
    <w:p>
      <w:pPr>
        <w:ind w:left="420"/>
      </w:pPr>
      <w:r>
        <w:t xml:space="preserve">4. Devisengeschäfte, wenn diese im Zusammenhang mit der Erbringung von Wertpapierdienstleistungen stehen,</w:t>
      </w:r>
    </w:p>
    <w:p>
      <w:pPr>
        <w:ind w:left="420"/>
      </w:pPr>
      <w:r>
        <w:t xml:space="preserve">5. das Erstellen oder Verbreiten von Empfehlungen oder Vorschlägen von Anlagestrategien im Sinne des Artikels 3 Absatz 1 Nummer 34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L 287 vom 21.10.2016, S. 320; L 306 vom 15.11.2016, S. 43; L 348 vom 21.12.2016, S. 83), die zuletzt durch die Verordnung (EU) 2019/2115 (ABl. L 320 vom 11.12.2019, S. 1) geändert worden ist, (Anlagestrategieempfehlung) oder von Anlageempfehlungen im Sinne des Artikels 3 Absatz 1 Nummer 35 der Verordnung (EU) Nr. 596/2014,</w:t>
      </w:r>
    </w:p>
    <w:p>
      <w:pPr>
        <w:ind w:left="420"/>
      </w:pPr>
      <w:r>
        <w:t xml:space="preserve">6. Dienstleistungen, die im Zusammenhang mit dem Emissionsgeschäft stehen und</w:t>
      </w:r>
    </w:p>
    <w:p>
      <w:pPr>
        <w:ind w:left="420"/>
      </w:pPr>
      <w:r>
        <w:t xml:space="preserve">7. Dienstleistungen, die sich auf einen Basiswert im Sinne des Absatzes 8 Nummer 2 oder 5 beziehen und im Zusammenhang mit Wertpapierdienstleistungen oder Wertpapiernebendienstleistungen stehen.</w:t>
      </w:r>
    </w:p>
    <w:p>
      <w:r>
        <w:t xml:space="preserve">(4) Nebengeschäfte im Sinne dieses Gesetzes sind</w:t>
      </w:r>
    </w:p>
    <w:p>
      <w:pPr>
        <w:ind w:left="420"/>
      </w:pPr>
      <w:r>
        <w:t xml:space="preserve">1. die Verwahrung und die Verwaltung von Wertpapieren ausschließlich für alternative Investmentfonds (AIF) im Sinne des § 1 Absatz 3 des Kapitalanlagegesetzbuchs (eingeschränktes Verwahrgeschäft),</w:t>
      </w:r>
    </w:p>
    <w:p>
      <w:pPr>
        <w:ind w:left="420"/>
      </w:pPr>
      <w:r>
        <w:t xml:space="preserve">2. die Vermittlung von Einlagengeschäften mit Unternehmen mit Sitz außerhalb des Europäischen Wirtschaftsraumes (Drittstaateneinlagenvermittlung),</w:t>
      </w:r>
    </w:p>
    <w:p>
      <w:pPr>
        <w:ind w:left="420"/>
      </w:pPr>
      <w:r>
        <w:t xml:space="preserve">3. die Verwahrung, Verwaltung und Sicherung kryptografischer Instrumente oder die Sicherung privater kryptografischer Schlüssel für andere, die dazu dienen, kryptografische Instrumente, Kryptowertpapiere im Sinne des § 4 Absatz 3 des Gesetzes über elektronische Wertpapiere oder Kryptofondsanteile im Sinne des § 1 Satz 2 der Verordnung über Kryptofondsanteile, zu speichern oder darüber zu verfügen (qualifiziertes Kryptoverwahrgeschäft) und</w:t>
      </w:r>
    </w:p>
    <w:p>
      <w:pPr>
        <w:ind w:left="420"/>
      </w:pPr>
      <w:r>
        <w:t xml:space="preserve">4. die Führung eines Kryptowertpapierregisters nach § 16 des Gesetzes über elektronische Wertpapiere (Kryptowertpapierregisterführung).</w:t>
      </w:r>
    </w:p>
    <w:p>
      <w:r>
        <w:t xml:space="preserve">Kryptografische Instrumente im Sinne dieses Gesetzes sind digitale Darstellungen eines Wertes, der von keiner Zentralbank oder öffentlichen Stelle emittiert wurde oder garantiert wird und nicht den gesetzlichen Status einer Währung oder von Geld besitzt, aber von natürlichen oder juristischen Personen aufgrund einer Vereinbarung oder tatsächlichen Übung als Tausch- oder Zahlungsmittel akzeptiert wird oder Anlagezwecken dient und der auf elektronischem Wege übertragen, gespeichert und gehandelt werden kann. Keine kryptografischen Instrumente im Sinne dieses Gesetzes ist oder sind</w:t>
      </w:r>
    </w:p>
    <w:p>
      <w:pPr>
        <w:ind w:left="420"/>
      </w:pPr>
      <w:r>
        <w:t xml:space="preserve">1. E-Geld im Sinne des § 1 Absatz 2 Satz 3 des Zahlungsdiensteaufsichtsgesetzes,</w:t>
      </w:r>
    </w:p>
    <w:p>
      <w:pPr>
        <w:ind w:left="420"/>
      </w:pPr>
      <w:r>
        <w:t xml:space="preserve">2. monetäre Werte, die die Vorgaben nach § 2 Absatz 1 Nummer 10 des Zahlungsdiensteaufsichtsgesetzes erfüllen oder nur für Zahlungsvorgänge im Sinne des § 2 Absatz 1 Nummer 11 des Zahlungsdiensteaufsichtsgesetzes eingesetzt werden,</w:t>
      </w:r>
    </w:p>
    <w:p>
      <w:pPr>
        <w:ind w:left="420"/>
      </w:pPr>
      <w:r>
        <w:t xml:space="preserve">3. Kryptowerte im Sinne des Artikels 3 Absatz 1 Nummer 5 der Verordnung (EU) 2023/1114 des Europäischen Parlaments und des Rates vom 31. Mai 2023 über Märkte für Kryptowerte und zur Änderung der Verordnungen (EU) Nr. 1093/2010 und (EU) Nr. 1095/2010 sowie der Richtlinien 2013/36/EU und (EU) 2019/1937 (ABl. L 150 vom 9.6.2023, S. 40), die durch die Verordnung (EU) 2023/2869 (ABl. L, 2023/2869, 20.12.2023) geändert worden ist, im Anwendungsbereich der Verordnung (EU) 2023/1114,</w:t>
      </w:r>
    </w:p>
    <w:p>
      <w:pPr>
        <w:ind w:left="420"/>
      </w:pPr>
      <w:r>
        <w:t xml:space="preserve">4. Wertpapiere im Sinne des Depotgesetzes.</w:t>
      </w:r>
    </w:p>
    <w:p>
      <w:r>
        <w:t xml:space="preserve">(5) Finanzinstrumente im Sinne dieses Gesetzes sind</w:t>
      </w:r>
    </w:p>
    <w:p>
      <w:pPr>
        <w:ind w:left="420"/>
      </w:pPr>
      <w:r>
        <w:t xml:space="preserve">1. Aktien und andere Anteile an in- oder ausländischen juristischen Personen, Personengesellschaften und sonstigen Unternehmen, soweit sie Aktien vergleichbar sind, sowie Hinterlegungsscheine, die Aktien oder Aktien vergleichbare Anteile vertreten,</w:t>
      </w:r>
    </w:p>
    <w:p>
      <w:pPr>
        <w:ind w:left="420"/>
      </w:pPr>
      <w:r>
        <w:t xml:space="preserve">2. Vermögensanlagen im Sinne des § 1 Absatz 2 des Vermögensanlagengesetzes mit Ausnahme von Anteilen an einer Genossenschaft im Sinne des § 1 des Genossenschaftsgesetzes,</w:t>
      </w:r>
    </w:p>
    <w:p>
      <w:pPr>
        <w:ind w:left="420"/>
      </w:pPr>
      <w:r>
        <w:t xml:space="preserve">3. Schuldtitel, insbesondere Genussscheine, Inhaberschuldverschreibungen, Orderschuldverschreibungen und diesen Schuldtiteln vergleichbare Rechte, die ihrer Art nach auf den Kapitalmärkten handelbar sind, mit Ausnahme von Zahlungsinstrumenten, sowie Hinterlegungsscheine, die diese Schuldtitel vertreten,</w:t>
      </w:r>
    </w:p>
    <w:p>
      <w:pPr>
        <w:ind w:left="420"/>
      </w:pPr>
      <w:r>
        <w:t xml:space="preserve">4. sonstige Rechte, die zum Erwerb oder zur Veräußerung von Rechten nach den Nummern 1 und 3 berechtigen oder zu einer Barzahlung führen, die in Abhängigkeit von solchen Rechten, von Währungen, Zinssätzen oder anderen Erträgen, von Waren, Indices oder Messgrößen bestimmt wird,</w:t>
      </w:r>
    </w:p>
    <w:p>
      <w:pPr>
        <w:ind w:left="420"/>
      </w:pPr>
      <w:r>
        <w:t xml:space="preserve">5. Anteile an Investmentvermögen im Sinne des § 1 Absatz 1 des Kapitalanlagegesetzbuchs,</w:t>
      </w:r>
    </w:p>
    <w:p>
      <w:pPr>
        <w:ind w:left="420"/>
      </w:pPr>
      <w:r>
        <w:t xml:space="preserve">6. Geldmarktinstrumente,</w:t>
      </w:r>
    </w:p>
    <w:p>
      <w:pPr>
        <w:ind w:left="420"/>
      </w:pPr>
      <w:r>
        <w:t xml:space="preserve">7. Devisen oder Rechnungseinheiten,</w:t>
      </w:r>
    </w:p>
    <w:p>
      <w:pPr>
        <w:ind w:left="420"/>
      </w:pPr>
      <w:r>
        <w:t xml:space="preserve">8. Derivate,</w:t>
      </w:r>
    </w:p>
    <w:p>
      <w:pPr>
        <w:ind w:left="420"/>
      </w:pPr>
      <w:r>
        <w:t xml:space="preserve">9. Berechtigungen nach § 3 Nummer 3 des Treibhausgas-Emissionshandelsgesetzes, Emissionsreduktionseinheiten nach § 2 Nummer 20 des Projekt-Mechanismen-Gesetzes und zertifizierte Emissionsreduktionen nach § 2 Nummer 21 des Projekt-Mechanismen-Gesetzes, soweit diese jeweils im Emissionshandelsregister gehalten werden dürfen (Emissionszertifikate),</w:t>
      </w:r>
    </w:p>
    <w:p>
      <w:pPr>
        <w:ind w:left="420"/>
      </w:pPr>
      <w:r>
        <w:t xml:space="preserve">10. (weggefallen)</w:t>
      </w:r>
    </w:p>
    <w:p>
      <w:pPr>
        <w:ind w:left="420"/>
      </w:pPr>
      <w:r>
        <w:t xml:space="preserve">11. für Schwarmfinanzierungszwecke nach Artikel 2 Absatz 1 Buchstabe n der Verordnung (EU) 2020/1503 des Europäischen Parlaments und des Rates vom 7. Oktober 2020 über Europäische Schwarmfinanzierungsdienstleister für Unternehmen und zur Änderung der Verordnung (EU) 2017/1129 und der Richtlinie (EU) 2019/1937 (ABl. L 347 vom 20.10.2020, S. 1), in der jeweils geltenden Fassung, zugelassene Instrumente (Schwarmfinanzierungsinstrumente).</w:t>
      </w:r>
    </w:p>
    <w:p>
      <w:r>
        <w:t xml:space="preserve">(6) Hinterlegungsscheine im Sinne dieses Gesetzes sind Wertpapiere, die auf dem Kapitalmarkt handelbar sind, ein Eigentumsrecht an Wertpapieren von Emittenten mit Sitz im Ausland verbriefen, zum Handel auf einem organisierten Markt zugelassen sind und unabhängig von den Wertpapieren des jeweiligen Emittenten mit Sitz im Ausland gehandelt werden können.</w:t>
      </w:r>
    </w:p>
    <w:p>
      <w:r>
        <w:t xml:space="preserve">(7) Geldmarktinstrumente im Sinne dieses Gesetzes sind Instrumente im Sinne des Artikels 11 der Delegierten Verordnung (EU) 2017/565 mit Ausnahme von Zahlungsinstrumenten.</w:t>
      </w:r>
    </w:p>
    <w:p>
      <w:r>
        <w:t xml:space="preserve">(8) Derivate im Sinne dieses Gesetzes sind</w:t>
      </w:r>
    </w:p>
    <w:p>
      <w:pPr>
        <w:ind w:left="420"/>
      </w:pPr>
      <w:r>
        <w:t xml:space="preserve">1. als Kauf, Tausch oder anderweitig ausgestaltete Festgeschäfte oder Optionsgeschäfte, die zeitlich verzögert zu erfüllen sind und deren Wert sich unmittelbar oder mittelbar vom Preis oder Maß eines Basiswertes ableitet (Termingeschäfte) mit Bezug auf die folgenden Basiswerte:</w:t>
      </w:r>
    </w:p>
    <w:p>
      <w:pPr>
        <w:ind w:left="780"/>
      </w:pPr>
      <w:r>
        <w:t xml:space="preserve">a) Wertpapiere oder Geldmarktinstrumente,</w:t>
      </w:r>
    </w:p>
    <w:p>
      <w:pPr>
        <w:ind w:left="780"/>
      </w:pPr>
      <w:r>
        <w:t xml:space="preserve">b) Devisen, soweit das Geschäft nicht die Voraussetzungen des Artikels 10 der Delegierten Verordnung (EU) 2017/565 erfüllt, Rechnungseinheiten oder Kryptowerte im Sinne des Artikels 3 Absatz 1 Nummer 5 der Verordnung (EU) 2023/1114 des Europäischen Parlaments und des Rates vom 31. Mai 2023 über Märkte für Kryptowerte und zur Änderung der Verordnungen (EU) Nr. 1093/2010 und (EU) Nr. 1095/2010 sowie der Richtlinien 2013/36/EU und (EU) 2019/1937 (ABl. L 150 vom 9.6.2023, S. 40), ohne Kryptowerte nach Artikel 4 Absatz 3 Buchstabe c der Verordnung (EU) 2023/1114,</w:t>
      </w:r>
    </w:p>
    <w:p>
      <w:pPr>
        <w:ind w:left="780"/>
      </w:pPr>
      <w:r>
        <w:t xml:space="preserve">c) Zinssätze oder andere Erträge,</w:t>
      </w:r>
    </w:p>
    <w:p>
      <w:pPr>
        <w:ind w:left="780"/>
      </w:pPr>
      <w:r>
        <w:t xml:space="preserve">d) Indices der Basiswerte der Buchstaben a, b, c, f und andere Finanzindices oder Finanzmessgrößen,</w:t>
      </w:r>
    </w:p>
    <w:p>
      <w:pPr>
        <w:ind w:left="780"/>
      </w:pPr>
      <w:r>
        <w:t xml:space="preserve">e) Derivate oder</w:t>
      </w:r>
    </w:p>
    <w:p>
      <w:pPr>
        <w:ind w:left="780"/>
      </w:pPr>
      <w:r>
        <w:t xml:space="preserve">f) Emissionszertifikate;</w:t>
      </w:r>
    </w:p>
    <w:p>
      <w:pPr>
        <w:ind w:left="420"/>
      </w:pPr>
      <w:r>
        <w:t xml:space="preserve">2. Termingeschäfte mit Bezug auf Waren, Frachtsätze, Klima- oder andere physikalische Variablen, Inflationsraten oder andere volkswirtschaftliche Variablen oder sonstige Vermögenswerte, Indices oder Messwerte als Basiswerte, sofern sie</w:t>
      </w:r>
    </w:p>
    <w:p>
      <w:pPr>
        <w:ind w:left="780"/>
      </w:pPr>
      <w:r>
        <w:t xml:space="preserve">a) durch Barausgleich zu erfüllen sind oder einer Vertragspartei das Recht geben, einen Barausgleich zu verlangen, ohne dass dieses Recht durch Ausfall oder ein anderes Beendigungsereignis begründet ist,</w:t>
      </w:r>
    </w:p>
    <w:p>
      <w:pPr>
        <w:ind w:left="780"/>
      </w:pPr>
      <w:r>
        <w:t xml:space="preserve">b) auf einem organisierten Markt oder in einem multilateralen oder organisierten Handelssystem geschlossen werden, soweit es sich nicht um über ein organisiertes Handelssystem gehandelte Energiegroßhandelsprodukte handelt, die effektiv geliefert werden müssen, oder</w:t>
      </w:r>
    </w:p>
    <w:p>
      <w:pPr>
        <w:ind w:left="780"/>
      </w:pPr>
      <w:r>
        <w:t xml:space="preserve">c) die Merkmale anderer Derivatekontrakte im Sinne des Artikels 7 der Delegierten Verordnung (EU) 2017/565 aufweisen und nichtkommerziellen Zwecken dienen</w:t>
      </w:r>
    </w:p>
    <w:p>
      <w:pPr>
        <w:ind w:left="420"/>
      </w:pPr>
      <w:r>
        <w:t xml:space="preserve">und sofern sie keine Kassageschäfte im Sinne des Artikels 7 der Delegierten Verordnung (EU) 2017/565 sind;</w:t>
      </w:r>
    </w:p>
    <w:p>
      <w:pPr>
        <w:ind w:left="420"/>
      </w:pPr>
      <w:r>
        <w:t xml:space="preserve">3. finanzielle Differenzgeschäfte;</w:t>
      </w:r>
    </w:p>
    <w:p>
      <w:pPr>
        <w:ind w:left="420"/>
      </w:pPr>
      <w:r>
        <w:t xml:space="preserve">4. als Kauf, Tausch oder anderweitig ausgestaltete Festgeschäfte oder Optionsgeschäfte, die zeitlich verzögert zu erfüllen sind und dem Transfer von Kreditrisiken dienen (Kreditderivate);</w:t>
      </w:r>
    </w:p>
    <w:p>
      <w:pPr>
        <w:ind w:left="420"/>
      </w:pPr>
      <w:r>
        <w:t xml:space="preserve">5. Termingeschäfte mit Bezug auf die in Artikel 8 der Delegierten Verordnung (EU) 2017/565 genannten Basiswerte, sofern sie die Bedingungen von Nummer 2 erfüllen.</w:t>
      </w:r>
    </w:p>
    <w:p>
      <w:r>
        <w:t xml:space="preserve">(9) Anbieter von Nebendienstleistungen im Sinne dieses Gesetzes ist ein Unternehmen, dessen Haupttätigkeit besteht</w:t>
      </w:r>
    </w:p>
    <w:p>
      <w:pPr>
        <w:ind w:left="420"/>
      </w:pPr>
      <w:r>
        <w:t xml:space="preserve">1. im Besitz oder in der Verwaltung von Immobilien,</w:t>
      </w:r>
    </w:p>
    <w:p>
      <w:pPr>
        <w:ind w:left="420"/>
      </w:pPr>
      <w:r>
        <w:t xml:space="preserve">2. in der Verwaltung von Datenverarbeitungsdiensten oder</w:t>
      </w:r>
    </w:p>
    <w:p>
      <w:pPr>
        <w:ind w:left="420"/>
      </w:pPr>
      <w:r>
        <w:t xml:space="preserve">3. in einer den Nummern 1 und 2 ähnlichen Tätigkeit, die im Verhältnis zur Haupttätigkeit eine oder mehrerer Wertpapierinstitute den Charakter einer Nebentätigkeit hat.</w:t>
      </w:r>
    </w:p>
    <w:p>
      <w:r>
        <w:t xml:space="preserve">(10) Waren- und Emissionszertifikatehändler im Sinne dieses Gesetzes sind Waren- und Emissionszertifikatehändler im Sinne des Artikels 4 Absatz 1 Nummer 150 der Verordnung (EU) Nr. 575/2013 des Europäischen Parlaments und des Rates vom 26. Juni 2013 über Aufsichtsanforderungen an Wertpapierfirmen und zur Änderung der Verordnung (EU) Nr. 648/2012 (ABl. L 176 vom 27.6.2013, S. 1; L 208 vom 2.8.2013; S. 68; L 321 vom 30.11.2013, S. 6; L 193 vom 21.7.2015, S. 166; L 20 vom 25.1.2017, S. 3; L 13 vom 17.1.2020, S. 58; L 335 vom 13.10.2020, S. 20), die zuletzt durch die Verordnung (EU) 2020/873 (ABl. L 204 vom 26.6.2020, S. 4) geändert worden ist.</w:t>
      </w:r>
    </w:p>
    <w:p>
      <w:r>
        <w:t xml:space="preserve">(11) Zweigniederlassung im Sinne dieses Gesetzes ist eine Betriebsstelle, die</w:t>
      </w:r>
    </w:p>
    <w:p>
      <w:pPr>
        <w:ind w:left="420"/>
      </w:pPr>
      <w:r>
        <w:t xml:space="preserve">1. nicht die Hauptverwaltung ist,</w:t>
      </w:r>
    </w:p>
    <w:p>
      <w:pPr>
        <w:ind w:left="420"/>
      </w:pPr>
      <w:r>
        <w:t xml:space="preserve">2. einen rechtlich unselbstständigen Teil eines Wertpapierinstituts bildet und</w:t>
      </w:r>
    </w:p>
    <w:p>
      <w:pPr>
        <w:ind w:left="420"/>
      </w:pPr>
      <w:r>
        <w:t xml:space="preserve">3. Wertpapierdienstleistungen, gegebenenfalls auch Wertpapiernebendienstleistungen, erbringt, für die dem Wertpapierinstitut eine Zulassung erteilt wurde.</w:t>
      </w:r>
    </w:p>
    <w:p>
      <w:r>
        <w:t xml:space="preserve">Alle Betriebsstellen eines Wertpapierinstituts mit Hauptverwaltung in einem anderen Vertragsstaat, die sich in demselben Vertragsstaat befinden, gelten als eine einzige Zweigniederlassung.</w:t>
      </w:r>
    </w:p>
    <w:p>
      <w:r>
        <w:t xml:space="preserve">(12) Eine enge Verbindung im Sinne dieses Gesetzes liegt vor, wenn mindestens zwei natürliche oder juristische Personen wie folgt miteinander verbunden sind:</w:t>
      </w:r>
    </w:p>
    <w:p>
      <w:pPr>
        <w:ind w:left="420"/>
      </w:pPr>
      <w:r>
        <w:t xml:space="preserve">1. durch eine Beteiligung in Form des direkten Haltens oder des Haltens im Wege der Kontrolle von mindestens 20 Prozent der Stimmrechte oder der Anteile an einem Unternehmen,</w:t>
      </w:r>
    </w:p>
    <w:p>
      <w:pPr>
        <w:ind w:left="420"/>
      </w:pPr>
      <w:r>
        <w:t xml:space="preserve">2. durch Kontrolle in Form eines Verhältnisses zwischen Mutter- und Tochterunternehmen in den Fällen des Artikels 22 Absatz 1 und 2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L 369 vom 24.12.2014, S. 79), die zuletzt durch die Richtlinie 2014/102/EU (ABl. L 334 vom 21.11.2014, S. 86) geändert worden ist, oder eines vergleichbaren Verhältnisses zwischen einer natürlichen oder juristischen Person und einem Unternehmen; Tochterunternehmen von Tochterunternehmen gelten ebenfalls als Tochterunternehmen des Mutterunternehmens, das an der Spitze dieser Unternehmen steht, oder</w:t>
      </w:r>
    </w:p>
    <w:p>
      <w:pPr>
        <w:ind w:left="420"/>
      </w:pPr>
      <w:r>
        <w:t xml:space="preserve">3. durch ein dauerhaftes Kontrollverhältnis von mindestens zwei natürlichen oder juristischen Personen, das zu derselben dritten Person besteht.</w:t>
      </w:r>
    </w:p>
    <w:p>
      <w:r>
        <w:t xml:space="preserve">(13) Zuständige Behörde im Sinne dieses Gesetzes ist im Inland die Bundesanstalt für Finanzdienstleistungsaufsicht (Bundesanstalt) und im Ausland eine nach nationalem Recht offiziell anerkannte Behörde oder öffentliche Stelle eines Vertragsstaates, die nach diesem Recht im Rahmen des in dem betreffenden Vertragsstaat geltenden Aufsichtssystems zur Beaufsichtigung von Wertpapierinstituten gemäß der Richtlinie (EU) 2019/2034 des Europäischen Parlaments und des Rats vom 27. November 2019 über die Beaufsichtigung von Wertpapierfirmen und zur Änderung der Richtlinien 2002/87/EG, 2009/65/EG, 2011/61/EU, 2013/36/EU, 2014/59/EU und 2014/65/EU (ABl. L 314 vom 5.12.2019, S. 64) befugt ist.</w:t>
      </w:r>
    </w:p>
    <w:p>
      <w:r>
        <w:t xml:space="preserve">(14) Einhaltung des Gruppenkapitaltests im Sinne dieses Gesetzes ist die Einhaltung der in Artikel 8 der Verordnung (EU) 2019/2033 des Europäischen Parlaments und des Rats vom 27. November 2019 über Aufsichtsanforderungen an Wertpapierfirmen und zur Änderung der Verordnungen (EU) Nr. 1093/2010, (EU) Nr. 575/2013, (EU) Nr. 600/2014 und (EU) Nr. 806/2014 (ABl. L 314 vom 5.12.2019, S. 1; L 20 vom 24.1.2020, S. 26) genannten Anforderungen durch das Mutterunternehmen einer Wertpapierinstitutsgruppe.</w:t>
      </w:r>
    </w:p>
    <w:p>
      <w:r>
        <w:t xml:space="preserve">(15) Kreditinstitut im Sinne dieses Gesetzes ist ein Kreditinstitut im Sinne des Artikels 4 Absatz 1 Nummer 1 der Verordnung (EU) Nr. 575/2013.</w:t>
      </w:r>
    </w:p>
    <w:p>
      <w:r>
        <w:t xml:space="preserve">(16) Kleines Wertpapierinstitut im Sinne dieses Gesetzes ist ein Wertpapierinstitut, das die Bedingungen des Artikels 12 Absatz 1 der Verordnung (EU) 2019/2033 erfüllt.</w:t>
      </w:r>
    </w:p>
    <w:p>
      <w:r>
        <w:t xml:space="preserve">(17) Mittleres Wertpapierinstitut im Sinne dieses Gesetzes ist ein Wertpapierinstitut, das die Bedingungen des Artikels 12 Absatz 1 der Verordnung (EU) 2019/2033 nicht erfüllt.</w:t>
      </w:r>
    </w:p>
    <w:p>
      <w:r>
        <w:t xml:space="preserve">(18) Großes Wertpapierinstitut im Sinne dieses Gesetzes ist ein Wertpapierinstitut im Sinne des Absatz 1, das aufgrund des Artikels 1 Absatz 2 der Verordnung (EU) 2019/2033 oder aufgrund einer Gestattung gemäß Artikel 1 Absatz 5 der Verordnung (EU) 2019/2033 oder nach § 8 verpflichtet ist, die Verordnung (EU) 575/2013 anzuwenden.</w:t>
      </w:r>
    </w:p>
    <w:p>
      <w:r>
        <w:t xml:space="preserve">(19) Herkunftsvertragsstaat eines Wertpapierinstituts ist,</w:t>
      </w:r>
    </w:p>
    <w:p>
      <w:pPr>
        <w:ind w:left="420"/>
      </w:pPr>
      <w:r>
        <w:t xml:space="preserve">1. sofern es sich um eine natürliche Person handelt, der Vertragsstaat, in dem sich die Hauptverwaltung des Wertpapierinstituts befindet,</w:t>
      </w:r>
    </w:p>
    <w:p>
      <w:pPr>
        <w:ind w:left="420"/>
      </w:pPr>
      <w:r>
        <w:t xml:space="preserve">2. sofern es sich um eine juristische Person handelt, der Vertragsstaat, in dem sich der Sitz des Wertpapierinstituts befindet, oder</w:t>
      </w:r>
    </w:p>
    <w:p>
      <w:pPr>
        <w:ind w:left="420"/>
      </w:pPr>
      <w:r>
        <w:t xml:space="preserve">3. sofern es sich um eine juristische Person handelt, für die nach dem nationalen Recht, das für das Wertpapierinstitut maßgeblich ist, kein Sitz bestimmt ist, der Vertragsstaat, in dem sich die Hauptverwaltung des Wertpapierinstituts befindet.</w:t>
      </w:r>
    </w:p>
    <w:p>
      <w:r>
        <w:t xml:space="preserve">(20) Aufnahmevertragsstaat eines Wertpapierinstituts ist der Vertragsstaat, in dem das Wertpapierinstitut eine Zweigniederlassung unterhält oder Wertpapierdienstleistungen im Wege des grenzüberschreitenden Dienstleistungsverkehrs erbringt.</w:t>
      </w:r>
    </w:p>
    <w:p>
      <w:r>
        <w:t xml:space="preserve">(21) Systemrisiko im Sinne dieses Gesetzes ist das Risiko einer Störung des Finanzsystems mit möglicherweise schwerwiegenden negativen Auswirkungen auf das Finanzsystem und die Realwirtschaft.</w:t>
      </w:r>
    </w:p>
    <w:p>
      <w:r>
        <w:t xml:space="preserve">(22) Kontrolle im Sinne dieses Gesetzes ist das in Artikel 22 Absatz 1 und 2 der Richtlinie 2013/34/EU oder in den jeweils für das Wertpapierinstitut nach der Verordnung (EG) Nr. 1606/2002 des Europäischen Parlaments und des Rates vom 19. Juli 2002 betreffend die Anwendung internationaler Rechnungslegungsstandards (ABl. L 243 vom 11.9.2002, S. 1), die zuletzt durch die Verordnung (EG) Nr. 297/2008 (ABl. L 97 vom 9.4.2008, S. 62) geändert worden ist, geltenden Rechnungslegungsstandards beschriebene Verhältnis zwischen einem Mutterunternehmen und einem Tochterunternehmen oder ein ähnliches Verhältnis zwischen einer natürlichen oder juristischen Person und einem Unternehmen.</w:t>
      </w:r>
    </w:p>
    <w:p>
      <w:r>
        <w:t xml:space="preserve">(23) Bedeutende Beteiligung im Sinne dieses Gesetzes ist eine qualifizierte Beteiligung gemäß Artikel 4 Absatz 1 Nummer 36 der Verordnung (EU) Nr. 575/2013. Für die Berechnung des Anteils der Stimmrechte gelten § 33 Absatz 1 in Verbindung mit einer Rechtsverordnung nach § 33 Absatz 3, § 34 Absatz 1 und 2, § 35 Absatz 1 bis 3 in Verbindung mit einer Rechtsverordnung nach § 35 Absatz 6 und § 36 des Wertpapierhandelsgesetzes entsprechend. Unberücksichtigt bleiben die Stimmrechte oder Kapitalanteile, die Kreditinstitute oder Wertpapierinstitute im Rahmen des Emissionsgeschäfts nach Absatz 2 Nummer 2 halten, vorausgesetzt, diese Rechte werden nicht ausgeübt oder anderweitig genutzt, um in die Geschäftsführung des Emittenten einzugreifen, und sie werden innerhalb eines Jahres nach dem Zeitpunkt des Erwerbs veräußert.</w:t>
      </w:r>
    </w:p>
    <w:p>
      <w:r>
        <w:t xml:space="preserve">(24) Gruppe im Sinne dieses Gesetzes ist eine Gruppe im Sinne des Artikels 2 Nummer 11 der Richtlinie 2013/34/EU.</w:t>
      </w:r>
    </w:p>
    <w:p>
      <w:r>
        <w:t xml:space="preserve">(25) Wertpapierinstitutsgruppe ist eine Unternehmensgruppe im Sinne des Artikels 4 Absatz 1 Nummer 25 der Verordnung (EU) 2019/2033.</w:t>
      </w:r>
    </w:p>
    <w:p>
      <w:r>
        <w:t xml:space="preserve">(26) Finanzinstitut im Sinne dieses Gesetzes ist ein Finanzinstitut im Sinne des Artikels 4 Absatz 1 Nummer 14 der Verordnung (EU) 2019/2033.</w:t>
      </w:r>
    </w:p>
    <w:p>
      <w:r>
        <w:t xml:space="preserve">(27) Investmentholdinggesellschaft im Sinne dieses Gesetzes ist ein Finanzinstitut, dessen Tochterunternehmen ausschließlich oder hauptsächlich Wertpapierinstitute oder Finanzinstitute sind, wobei mindestens ein Tochterunternehmen ein Wertpapierinstitut sein muss. Keine Investmentholdinggesellschaft ist eine Finanzholdinggesellschaft im Sinne des Artikels 4 Absatz 1 Nummer 20 der Verordnung (EU) Nr. 575/2013.</w:t>
      </w:r>
    </w:p>
    <w:p>
      <w:r>
        <w:t xml:space="preserve">(28) Gemischte Finanzholdinggesellschaft im Sinne dieses Gesetzes ist eine gemischte Finanzholdinggesellschaft im Sinne des Artikels 4 Absatz 1 Nummer 40 der Verordnung (EU) 2019/2033.</w:t>
      </w:r>
    </w:p>
    <w:p>
      <w:r>
        <w:t xml:space="preserve">(29) Gemischte Holdinggesellschaft im Sinne dieses Gesetzes ist ein Mutterunternehmen, das keine Finanzholdinggesellschaft, keine Investmentholdinggesellschaft, kein Kreditinstitut, kein Wertpapierinstitut und keine gemischte Finanzholdinggesellschaft im Sinne dieses Gesetzes ist und zu dessen Tochterunternehmen mindestens ein Wertpapierinstitut gehört.</w:t>
      </w:r>
    </w:p>
    <w:p>
      <w:r>
        <w:t xml:space="preserve">(30) Mutterunternehmen im Sinne dieses Gesetzes ist ein Mutterunternehmen im Sinne des Artikels 2 Nummer 9 und des Artikels 22 der Richtlinie 2013/34/EU.</w:t>
      </w:r>
    </w:p>
    <w:p>
      <w:r>
        <w:t xml:space="preserve">(31) Tochterunternehmen im Sinne dieses Gesetzes ist ein Tochterunternehmen im Sinne des Artikels 2 Nummer 10 und des Artikels 22 der Richtlinie 2013/34/EU, einschließlich aller Tochterunternehmen eines Tochterunternehmens des an der Spitze stehenden Mutterunternehmens.</w:t>
      </w:r>
    </w:p>
    <w:p>
      <w:r>
        <w:t xml:space="preserve">(32) Schwesterunternehmen im Sinne dieses Gesetzes ist ein Schwesterunternehmen im Sinne des § 1 Absatz 7 des Kreditwesengesetzes.</w:t>
      </w:r>
    </w:p>
    <w:p>
      <w:r>
        <w:t xml:space="preserve">(33) EU-Mutterwertpapierinstitut im Sinne dieses Gesetzes ist ein Wertpapierinstitut im Sinne des Artikels 3 Absatz 1 Nummer 31 der Richtlinie (EU) 2019/2034 in Verbindung mit Artikel 4 Absatz 1 Nummer 56 der Verordnung (EU) 2019/2033.</w:t>
      </w:r>
    </w:p>
    <w:p>
      <w:r>
        <w:t xml:space="preserve">(34) EU-Mutterinvestmentholdinggesellschaft im Sinne dieses Gesetzes ist eine Gesellschaft im Sinne des Artikels 4 Absatz 1 Nummer 57 der Verordnung (EU) 2019/2033.</w:t>
      </w:r>
    </w:p>
    <w:p>
      <w:r>
        <w:t xml:space="preserve">(35) Gemischte EU-Mutterfinanzholdinggesellschaft im Sinne dieses Gesetzes ist eine Mutterfinanzholdinggesellschaft im Sinne des Artikels 3 Absatz 1 Nummer 33 der Richtlinie (EU) 2019/2034 in Verbindung mit Artikel 4 Absatz 1 Nummer 58 der Verordnung (EU) 2019/2033.</w:t>
      </w:r>
    </w:p>
    <w:p>
      <w:r>
        <w:t xml:space="preserve">(36) Geschäftsleiter im Sinne dieses Gesetzes sind diejenigen natürlichen Personen, die nach Gesetz, Satzung oder Gesellschaftsvertrag zur Führung der Geschäfte und zur Vertretung eines Wertpapierinstituts oder eines Unternehmens in der Rechtsform einer juristischen Person oder einer Personenhandelsgesellschaft, die Wertpapierinstitut im Sinne des Absatz 1 ist, berufen sind.</w:t>
      </w:r>
    </w:p>
    <w:p>
      <w:r>
        <w:t xml:space="preserve">(37) Vertragsstaat im Sinne dieses Gesetzes ist ein Mitgliedstaat der Europäischen Union oder ein Vertragsstaat des Europäischen Wirtschaftsraums.</w:t>
      </w:r>
    </w:p>
    <w:p>
      <w:r>
        <w:t xml:space="preserve">(38) Auslagerungsunternehmen im Sinne dieses Gesetzes sind Unternehmen, auf die ein Wertpapierinstitut oder ein übergeordnetes Unternehmen Aktivitäten und Prozesse zur Durchführung von Wertpapierdienstleistungen, Wertpapiernebendienstleistungen oder Nebengeschäften ausgelagert hat, sowie deren Subunternehmen bei Weiterverlagerung von Aktivitäten und Prozessen, die für die Durchführung von Wertpapierdienstleistungen, Wertpapiernebendienstleistungen oder Nebengeschäften wesentlich sind.</w:t>
      </w:r>
    </w:p>
    <w:p>
      <w:r>
        <w:t xml:space="preserve">(39) Zentrale Gegenpartei im Sinne dieses Gesetzes ist eine CCP im Sinne von Artikel 2 Nummer 1 der Verordnung (EU) Nr. 648/2012.</w:t>
      </w:r>
    </w:p>
    <w:p>
      <w:r>
        <w:t xml:space="preserve">(39) Datenbereitstellungsdienste im Sinne dieses Gesetzes sind Datenbereitstellungsdienste im Sinne von § 2 Absatz 40 des Wertpapierhandelsgesetzes.</w:t>
      </w:r>
    </w:p>
    <w:p>
      <w:r>
        <w:rPr>
          <w:color w:val="555555"/>
          <w:sz w:val="17"/>
        </w:rPr>
        <w:t xml:space="preserve">Zitiervorschlag: § 2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