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WpIG — Erlöschen und Aufhebung der Erlaubnis</w:t>
      </w:r>
    </w:p>
    <w:p>
      <w:r>
        <w:rPr>
          <w:color w:val="555555"/>
          <w:sz w:val="18"/>
        </w:rPr>
        <w:t xml:space="preserve">Wertpapierinstitutsgesetz</w:t>
      </w:r>
    </w:p>
    <w:p>
      <w:r>
        <w:rPr>
          <w:color w:val="555555"/>
          <w:sz w:val="18"/>
        </w:rPr>
        <w:t xml:space="preserve">Stand: 04.01.2025 (konsolidierte Textfassung, kein amtliches Inkrafttretensdatum)</w:t>
      </w:r>
    </w:p>
    <w:p>
      <w:r>
        <w:t xml:space="preserve">(1) Die Erlaubnis erlischt, wenn</w:t>
      </w:r>
    </w:p>
    <w:p>
      <w:pPr>
        <w:ind w:left="420"/>
      </w:pPr>
      <w:r>
        <w:t xml:space="preserve">1. von ihr nicht innerhalb eines Jahres seit ihrer Erteilung Gebrauch gemacht wird oder</w:t>
      </w:r>
    </w:p>
    <w:p>
      <w:pPr>
        <w:ind w:left="420"/>
      </w:pPr>
      <w:r>
        <w:t xml:space="preserve">2. dem Wertpapierinstitut eine Erlaubnis nach § 32 Absatz 1 Satz 1 des Kreditwesengesetzes erteilt wird.</w:t>
      </w:r>
    </w:p>
    <w:p>
      <w:r>
        <w:t xml:space="preserve">Die Erlaubnis erlischt auch dann, wenn im Zuge einer Umwandlung nach § 305, § 320 oder § 333 des Umwandlungsgesetzes ein als juristische Person verfasstes Unternehmen seinen juristischen Sitz ins Ausland verlegt.</w:t>
      </w:r>
    </w:p>
    <w:p>
      <w:r>
        <w:t xml:space="preserve">(2) Die Bundesanstalt kann die Erlaubnis außer nach den Vorschriften des Verwaltungsverfahrensgesetzes aufheben, wenn</w:t>
      </w:r>
    </w:p>
    <w:p>
      <w:pPr>
        <w:ind w:left="420"/>
      </w:pPr>
      <w:r>
        <w:t xml:space="preserve">1. der Geschäftsbetrieb, auf den sich die Erlaubnis bezieht, seit mehr als sechs Monaten nicht mehr ausgeübt worden ist;</w:t>
      </w:r>
    </w:p>
    <w:p>
      <w:pPr>
        <w:ind w:left="420"/>
      </w:pPr>
      <w:r>
        <w:t xml:space="preserve">2. ihr Tatsachen bekannt werden, welche die Versagung der Erlaubnis nach § 18 Absatz 1 und 2 rechtfertigen würden;</w:t>
      </w:r>
    </w:p>
    <w:p>
      <w:pPr>
        <w:ind w:left="420"/>
      </w:pPr>
      <w:r>
        <w:t xml:space="preserve">3. Gefahr für die Erfüllung der Verpflichtungen des Wertpapierinstituts gegenüber seinen Kunden, insbesondere für die Sicherheit der dem Wertpapierinstitut anvertrauten Vermögenswerte besteht und die Gefahr nicht durch andere Maßnahmen nach diesem Gesetz abgewendet werden kann;</w:t>
      </w:r>
    </w:p>
    <w:p>
      <w:pPr>
        <w:ind w:left="420"/>
      </w:pPr>
      <w:r>
        <w:t xml:space="preserve">4. das Wertpapierinstitut schwerwiegend, wiederholt oder systematisch gegen Bestimmungen dieses Gesetzes, des Geldwäschegesetzes, des Wertpapierhandelsgesetzes, der Verordnung (EU) 2023/1113 des Europäischen Parlaments und des Rates vom 31. Mai 2023 über die Übermittlung von Angaben bei Geldtransfers und Transfers bestimmter Kryptowerte und zur Änderung der Richtlinie (EU) 2015/849 (ABl. L 150 vom 9.6.2023, S. 1), die zuletzt durch die Verordnung (EU) 2019/2175 (ABl. L 334 vom 27.12.2019, S. 1) geändert worden ist, oder die zur Durchführung dieser Gesetze erlassenen Verordnungen oder vollziehbaren Anordnungen verstoßen hat;</w:t>
      </w:r>
    </w:p>
    <w:p>
      <w:pPr>
        <w:ind w:left="420"/>
      </w:pPr>
      <w:r>
        <w:t xml:space="preserve">5. das Wertpapierinstitut nachhaltig gegen die Artikel 14, 15, 16 Absatz 1 oder Absatz 2, Artikel 17 Absatz 1, 2, 4, 5 oder 8, Artikel 18 Absatz 1 bis 6, Artikel 19 Absatz 1 bis 3, 5 bis 7 oder 11 oder Artikel 20 Absatz 1 der Verordnung (EU) Nr. 596/2014 oder sich auf diese Bestimmungen beziehende Anordnungen der Bundesanstalt verstoßen hat;</w:t>
      </w:r>
    </w:p>
    <w:p>
      <w:pPr>
        <w:ind w:left="420"/>
      </w:pPr>
      <w:r>
        <w:t xml:space="preserve">6. das Wertpapierinstitut die in den Artikeln 11 und 43 der Verordnung (EU) 2019/2033 niedergelegten aufsichtlichen Anforderungen nicht mehr erfüllt;</w:t>
      </w:r>
    </w:p>
    <w:p>
      <w:pPr>
        <w:ind w:left="420"/>
      </w:pPr>
      <w:r>
        <w:t xml:space="preserve">7. das Wertpapierinstitut als Gegenpartei von Wertpapierfinanzierungsgeschäften nachhaltig gegen die Pflichten und Anforderungen von Artikel 4 oder 15 der Verordnung (EU) 2015/2365 des Europäischen Parlaments und des Rates vom 25. November 2015 über die Transparenz von Wertpapierfinanzierungsgeschäften und der Weiterverwendung sowie zur Änderung der Verordnung (EU) Nr. 648/2012 (ABl. L 337 vom 23.12.2015, S. 1), die durch die Verordnung (EU) 2021/23 (ABl. L 22 vom 22.1.2021, S. 1) geändert worden ist, oder sich auf diese Bestimmungen beziehende Anordnungen der Bundesanstalt verstoßen hat, oder</w:t>
      </w:r>
    </w:p>
    <w:p>
      <w:pPr>
        <w:ind w:left="420"/>
      </w:pPr>
      <w:r>
        <w:t xml:space="preserve">8. das Wertpapierinstitut nachhaltig gegen Artikel 7 Absatz 1 Satz 3 oder Artikel 11 Absatz 1 Satz 3 der Verordnung (EU) Nr. 600/2014 oder sich auf diese Bestimmungen beziehende Anordnungen der Bundesanstalt verstoßen hat.</w:t>
      </w:r>
    </w:p>
    <w:p>
      <w:r>
        <w:t xml:space="preserve">(3) Die Erlaubnis soll durch die Bundesanstalt aufgehoben werden, wenn über das Wertpapierinstitut ein Insolvenzverfahren eröffnet oder die Einstellung des Geschäftsbetriebs des Wertpapierinstituts beschlossen worden ist. Der Wegfall der Erlaubnis hindert die für die Insolvenz zuständigen Personen nicht daran, bestimmte Tätigkeiten des Wertpapierinstituts weiter zu betreiben, soweit dies für Zwecke des Insolvenz- oder Liquidationsverfahrens erforderlich oder angezeigt ist.</w:t>
      </w:r>
    </w:p>
    <w:p>
      <w:r>
        <w:t xml:space="preserve">(4) § 48 Absatz 4 Satz 1 und § 49 Absatz 2 Satz 2 des Verwaltungsverfahrensgesetzes über die Jahresfrist sind nicht anzuwenden.</w:t>
      </w:r>
    </w:p>
    <w:p>
      <w:r>
        <w:t xml:space="preserve">(5) Die Bundesanstalt hat die Aufhebung oder das Erlöschen der Erlaubnis im Bundesanzeiger bekannt zu machen. Sie hat die zuständigen Behörden oder sonstigen zuständigen Stellen der anderen Vertragsstaaten zu unterrichten, in denen das Wertpapierinstitut Zweigniederlassungen errichtet hat oder im Wege des grenzüberschreitenden Dienstleistungsverkehrs tätig ist. Sie unterrichtet die Europäische Wertpapier- und Marktaufsichtsbehörde.</w:t>
      </w:r>
    </w:p>
    <w:p>
      <w:r>
        <w:rPr>
          <w:color w:val="555555"/>
          <w:sz w:val="17"/>
        </w:rPr>
        <w:t xml:space="preserve">Zitiervorschlag: § 19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