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WpIG — Verschwiegenheitspflicht</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Die bei der Bundesanstalt beschäftigten und die nach § 4 Absatz 3 des Finanzdienstleistungsaufsichtsgesetzes beauftragten Personen, die nach § 80 Absatz 1 bestellten Sonderbeauftragten, die gerichtlich bestellten Treuhänder nach § 27 Absatz 2 sowie die im Dienst der Deutschen Bundesbank stehenden Personen, soweit sie zur Durchführung dieses Gesetzes tätig werden, dürfen die ihnen bei ihrer Tätigkeit bekanntgewordenen Tatsachen, deren Geheimhaltung im Interesse des Wertpapierinstituts, der zuständigen Behörden oder eines Dritten liegt, insbesondere Geschäfts- und Betriebsgeheimnisse, nicht unbefugt offenbaren oder verwerten, auch wenn sie nicht mehr im Dienst sind oder ihre Tätigkeit beendet ist. Dies gilt auch für die in Satz 1 genannten Personen, sofern ihnen Tatsachen im Rahmen der Anbahnung einer Beauftragung oder Bestellung anvertraut werden. Satz 1 gilt auch für andere Personen, die durch dienstliche Berichterstattung Kenntnis von den in Satz 1 bezeichneten Tatsachen erhalten. Die von den beaufsichtigten Wertpapierinstituten zu beachtenden allgemeinen datenschutzrechtlichen Vorschriften bleiben unberührt. Ein unbefugtes Offenbaren oder Verwerten im Sinne des Satzes 1 liegt insbesondere nicht vor, wenn Tatsachen weitergegeben werden an</w:t>
      </w:r>
    </w:p>
    <w:p>
      <w:pPr>
        <w:ind w:left="420"/>
      </w:pPr>
      <w:r>
        <w:t xml:space="preserve">1. Strafverfolgungsbehörden oder für Straf- und Bußgeldsachen zuständige Gerichte,</w:t>
      </w:r>
    </w:p>
    <w:p>
      <w:pPr>
        <w:ind w:left="420"/>
      </w:pPr>
      <w:r>
        <w:t xml:space="preserve">2. kraft Gesetzes oder im öffentlichen Auftrag für die Überwachung von Wertpapierinstituten, Schwarmfinanzierungsdienstleistern, Kreditinstituten, Finanzdienstleistungsinstituten, Kapitalverwaltungsgesellschaften, extern verwalteten Investmentgesellschaften, EU-Verwaltungsgesellschaften oder ausländischen AIF-Verwaltungsgesellschaften, Finanzunternehmen, Versicherungsunternehmen, der Finanzmärkte oder des Zahlungsverkehrs zuständige Behörden oder Stellen sowie von diesen beauftragte Personen,</w:t>
      </w:r>
    </w:p>
    <w:p>
      <w:pPr>
        <w:ind w:left="420"/>
      </w:pPr>
      <w:r>
        <w:t xml:space="preserve">3. mit der Liquidation oder dem Insolvenzverfahren über das Vermögen eines Wertpapierinstituts befasste Stellen,</w:t>
      </w:r>
    </w:p>
    <w:p>
      <w:pPr>
        <w:ind w:left="420"/>
      </w:pPr>
      <w:r>
        <w:t xml:space="preserve">4. mit der gesetzlichen Prüfung der Rechnungslegung von Wertpapierinstituten betraute Personen sowie Stellen, welche die vorgenannten Personen beaufsichtigen,</w:t>
      </w:r>
    </w:p>
    <w:p>
      <w:pPr>
        <w:ind w:left="420"/>
      </w:pPr>
      <w:r>
        <w:t xml:space="preserve">5. eine Anlegerentschädigungs- oder Sicherungseinrichtung,</w:t>
      </w:r>
    </w:p>
    <w:p>
      <w:pPr>
        <w:ind w:left="420"/>
      </w:pPr>
      <w:r>
        <w:t xml:space="preserve">6. Wertpapier- oder Terminbörsen,</w:t>
      </w:r>
    </w:p>
    <w:p>
      <w:pPr>
        <w:ind w:left="420"/>
      </w:pPr>
      <w:r>
        <w:t xml:space="preserve">7. Zentralnotenbanken,</w:t>
      </w:r>
    </w:p>
    <w:p>
      <w:pPr>
        <w:ind w:left="420"/>
      </w:pPr>
      <w:r>
        <w:t xml:space="preserve">8. Betreiber von Systemen nach § 1 Absatz 16 des Kreditwesengesetzes,</w:t>
      </w:r>
    </w:p>
    <w:p>
      <w:pPr>
        <w:ind w:left="420"/>
      </w:pPr>
      <w:r>
        <w:t xml:space="preserve">9. die zuständigen Behörden und Stellen in anderen Vertragsstaaten sowie in Drittstaaten, mit denen die Bundesanstalt im Rahmen von Aufsichtskollegien nach § 58 zusammenarbeitet,</w:t>
      </w:r>
    </w:p>
    <w:p>
      <w:pPr>
        <w:ind w:left="420"/>
      </w:pPr>
      <w:r>
        <w:t xml:space="preserve">10. die Europäische Zentralbank, das Europäische System der Zentralbanken, die Europäische Bankenaufsichtsbehörde, die Europäische Aufsichtsbehörde für das Versicherungswesen und die betriebliche Altersversorgung, die Europäische Wertpapier- und Marktaufsichtsbehörde, den Gemeinsamen Ausschuss der Europäischen Aufsichtsbehörden oder die Europäische Kommission,</w:t>
      </w:r>
    </w:p>
    <w:p>
      <w:pPr>
        <w:ind w:left="420"/>
      </w:pPr>
      <w:r>
        <w:t xml:space="preserve">11. Behörden, die für die Aufsicht über Zahlungs- und Abwicklungssysteme zuständig sind,</w:t>
      </w:r>
    </w:p>
    <w:p>
      <w:pPr>
        <w:ind w:left="420"/>
      </w:pPr>
      <w:r>
        <w:t xml:space="preserve">12. parlamentarische Untersuchungsausschüsse nach § 1 des Untersuchungsausschussgesetzes aufgrund einer Entscheidung über ein Ersuchen nach § 18 Absatz 2 des Untersuchungsausschussgesetzes,</w:t>
      </w:r>
    </w:p>
    <w:p>
      <w:pPr>
        <w:ind w:left="420"/>
      </w:pPr>
      <w:r>
        <w:t xml:space="preserve">13. das Bundesverfassungsgericht,</w:t>
      </w:r>
    </w:p>
    <w:p>
      <w:pPr>
        <w:ind w:left="420"/>
      </w:pPr>
      <w:r>
        <w:t xml:space="preserve">14. den Bundesrechnungshof, sofern sich sein Untersuchungsauftrag auf die Entscheidungen und sonstigen Tätigkeiten der Bundesanstalt nach diesem Gesetz oder der Verordnung (EU) Nr. 575/2013 bezieht,</w:t>
      </w:r>
    </w:p>
    <w:p>
      <w:pPr>
        <w:ind w:left="420"/>
      </w:pPr>
      <w:r>
        <w:t xml:space="preserve">15. Verwaltungsgerichte in verwaltungsrechtlichen Streitigkeiten, in denen die Bundesanstalt Beklagte ist, mit Ausnahme von Klagen nach dem Informationsfreiheitsgesetz,</w:t>
      </w:r>
    </w:p>
    <w:p>
      <w:pPr>
        <w:ind w:left="420"/>
      </w:pPr>
      <w:r>
        <w:t xml:space="preserve">16. die Bank für Internationalen Zahlungsausgleich für die Zwecke quantitativer Folgenabschätzungen sowie den Rat für Finanzstabilität für die Zwecke seiner Überwachungsaufgaben,</w:t>
      </w:r>
    </w:p>
    <w:p>
      <w:pPr>
        <w:ind w:left="420"/>
      </w:pPr>
      <w:r>
        <w:t xml:space="preserve">17. den Internationalen Währungsfonds oder die Weltbank für die Zwecke der Bewertung im Rahmen des Programms zur Bewertung des Finanzsektors,</w:t>
      </w:r>
    </w:p>
    <w:p>
      <w:pPr>
        <w:ind w:left="420"/>
      </w:pPr>
      <w:r>
        <w:t xml:space="preserve">18. den Ausschuss für Finanzstabilität oder den Europäischen Ausschuss für Systemrisiken,</w:t>
      </w:r>
    </w:p>
    <w:p>
      <w:pPr>
        <w:ind w:left="420"/>
      </w:pPr>
      <w:r>
        <w:t xml:space="preserve">19. das Gremium zum Finanzmarktstabilisierungsfonds im Sinne des § 10a Absatz 1 des Finanzmarktstabilisierungsfondsgesetzes oder den Lenkungsausschuss im Sinne des § 4 Absatz 1 Satz 2 des Finanzmarktstabilisierungsfondsgesetzes,</w:t>
      </w:r>
    </w:p>
    <w:p>
      <w:pPr>
        <w:ind w:left="420"/>
      </w:pPr>
      <w:r>
        <w:t xml:space="preserve">20. Behörden im Sinne von Artikel 2 Absatz 1 Nummer 17 und 18 der Verordnung (EU) Nr. 909/2014,</w:t>
      </w:r>
    </w:p>
    <w:p>
      <w:pPr>
        <w:ind w:left="420"/>
      </w:pPr>
      <w:r>
        <w:t xml:space="preserve">21. Behörden, die für die Überwachung der Einhaltung der Richtlinie (EU) 2015/849 des Europäischen Parlaments und des Rates vom 20. Mai 2015 zur Verhinderung der Nutzung des Finanzsystems zum Zwecke der Geldwäsche und Terrorismusfinanzierung, zur Änderung der Verordnung (EU) Nr. 648/2012 des Europäischen Parlaments und des Rates und zur Aufhebung der Richtlinie 2005/60/EG des Europäischen Parlaments und des Rates und der Richtlinie 2006/70/EG der Kommission (ABl. L 141 vom 5.6.2015, S. 73), die zuletzt durch die Richtlinie (EU) 2018/843 (ABl. L 156 vom 19.6.2018, S. 43) geändert worden ist, durch die in Artikel 2 Absatz 1 Nummer 1 und 2 der Richtlinie aufgeführten Verpflichteten zuständig sind, und zentrale Meldestellen oder andere Behörden, die kraft Gesetzes oder im öffentlichen Auftrag mit der Bekämpfung, Aufklärung und Verhinderung von Geldwäsche oder von Terrorismusfinanzierung betraut sind,</w:t>
      </w:r>
    </w:p>
    <w:p>
      <w:pPr>
        <w:ind w:left="420"/>
      </w:pPr>
      <w:r>
        <w:t xml:space="preserve">22. zuständige Behörden oder Stellen, die für die Anwendung der Regelungen zur strukturellen Trennung innerhalb einer Bankengruppe verantwortlich sind,</w:t>
      </w:r>
    </w:p>
    <w:p>
      <w:pPr>
        <w:ind w:left="420"/>
      </w:pPr>
      <w:r>
        <w:t xml:space="preserve">23. das Bundesamt für Sicherheit in der Informationstechnik,</w:t>
      </w:r>
    </w:p>
    <w:p>
      <w:pPr>
        <w:ind w:left="420"/>
      </w:pPr>
      <w:r>
        <w:t xml:space="preserve">24. zuständige Behörden im Sinne von Artikel 2 Absatz 1 Buchstabe r der Verordnung (EU) 2020/1503 oder</w:t>
      </w:r>
    </w:p>
    <w:p>
      <w:pPr>
        <w:ind w:left="420"/>
      </w:pPr>
      <w:r>
        <w:t xml:space="preserve">25. natürliche oder juristische Personen, die als Sonderbeauftragte nach § 80 oder Treuhänder nach § 27 Absatz 2 oder in einem vergleichbaren Verhältnis tätig werden; das Gleiche gilt für die Informationsweitergabe an diesen Personenkreis, die im Rahmen der Anbahnung einer Beauftragung oder Bestellung notwendig ist,</w:t>
      </w:r>
    </w:p>
    <w:p>
      <w:r>
        <w:t xml:space="preserve">soweit diese Stellen oder Personen die Informationen zur Erfüllung ihrer Aufgaben oder zur Prüfung, ob sie eine der in Satz 5 Nummer 25 genannten Aufgaben ausüben können, benötigen. Für die bei den in Satz 5 Nummern 1 bis 11, 13 bis 23 und 25 genannten Stellen oder Personen beschäftigten Personen und die von diesen Stellen oder Personen beauftragten Personen sowie für die Mitglieder der in Satz 5 Nummern 12 und 19 genannten Ausschüsse gilt die Verschwiegenheitspflicht nach Satz 1 entsprechend. Betrifft die Weitergabe von Tatsachen nach Satz 5 personenbezogene Daten, sind die allgemeinen datenschutzrechtlichen Vorschriften zu beachten.</w:t>
      </w:r>
    </w:p>
    <w:p>
      <w:r>
        <w:t xml:space="preserve">(2) Befindet sich eine in Absatz 1 Satz 5 Nummer 1 bis 11, 16 bis 18 und 20 bis 22 genannte Stelle in einem anderen Staat, so dürfen die Tatsachen nur weitergegeben werden, wenn die bei dieser Stelle beschäftigten und die von dieser Stelle beauftragten Personen einer dem Absatz 1 weitgehend entsprechenden Verschwiegenheitspflicht unterliegen. Die ausländische Stelle ist darauf hinzuweisen, dass sie Informationen nur zu dem Zweck verwenden darf, zu dessen Erfüllung sie ihr übermittelt werden. Informationen, die aus einem Drittstaat oder von sonstigen Personen oder Einrichtungen stammen, dürfen nur mit ausdrücklicher Zustimmung der zuständigen Stellen, die diese Informationen mitgeteilt haben, und nur für solche Zwecke weitergegeben werden, denen diese Stellen zugestimmt haben oder die auf Basis der abgeschlossenen Kooperations- oder Verwaltungsvereinbarungen statthaft sind.</w:t>
      </w:r>
    </w:p>
    <w:p>
      <w:r>
        <w:t xml:space="preserve">(3) Eine Weitergabe an Stellen nach Absatz 1 Satz 5 Nummer 16 und 17 darf nur erfolgen, wenn die Anfrage unter Berücksichtigung der spezifischen Aufgaben, die die anfragende Stelle gemäß ihrem gesetzlichen Auftrag wahrnimmt, hinreichend begründet und hinreichend genau in Bezug auf Art, Umfang und Format der angeforderten Informationen und die Mittel für deren Offenlegung oder Übermittlung ist, die angeforderten Informationen unbedingt erforderlich sind, damit die anfragende Stelle ihre spezifischen Aufgaben wahrnehmen kann, und nicht über die ihr übertragenen gesetzlichen Aufgaben hinausgehen und die Informationen ausschließlich den Personen übermittelt oder offengelegt werden, die unmittelbar mit der Wahrnehmung der spezifischen Aufgabe befasst sind. Andere Informationen als aggregierte und anonymisierte Informationen dürfen in den Fällen des Absatz 1 Satz 5 Nummer 16 und 17 nur in den Räumlichkeiten der Bundesanstalt und der Deutschen Bundesbank eingesehen werden.</w:t>
      </w:r>
    </w:p>
    <w:p>
      <w:r>
        <w:t xml:space="preserve">(4) Die §§ 93, 97 und 105 Absatz 1, § 111 Absatz 5 in Verbindung mit § 105 Absatz 1 sowie § 116 Absatz 1 der Abgabenordnung gelten für die in Absatz 1 bezeichneten Personen nur, soweit die Finanzbehörden die Kenntnisse für die Durchführung eines Verfahrens wegen einer Steuerstraftat sowie eines damit zusammenhängenden Besteuerungsverfahrens benötigen. Die in Satz 1 genannten Vorschriften sind jedoch nicht anzuwenden, soweit Tatsachen betroffen sind, die den in Absatz 1 Satz 1 oder 3 bezeichneten Personen durch die zuständige Aufsichtsstelle eines anderen Staates oder durch von dieser Stelle beauftragte Personen mitgeteilt worden sind.</w:t>
      </w:r>
    </w:p>
    <w:p>
      <w:r>
        <w:t xml:space="preserve">(5) Andere Personen oder Einrichtungen als die in Absatz 1 genannten, die vertrauliche Informationen im Sinne dieses Gesetzes erhalten, dürfen diese Informationen ausschließlich für die von der Bundesanstalt ausdrücklich vorgesehenen Zwecke verwenden. Die Bundesanstalt ist befugt, den Umgang mit Informationen nach Absatz 1 festzulegen und jegliche Weitergabe dieser Informationen zu beschränken.</w:t>
      </w:r>
    </w:p>
    <w:p>
      <w:r>
        <w:t xml:space="preserve">(6) Vertrauliche Informationen, die zuständige Behörden nach § 11 oder der Verordnung (EU) 2019/2033 empfangen, austauschen oder übermitteln, dürfen ausschließlich zur Wahrnehmung ihrer Aufgaben verwendet werden. Zuständige Behörden können im Einzelfall ausdrücklich</w:t>
      </w:r>
    </w:p>
    <w:p>
      <w:pPr>
        <w:ind w:left="420"/>
      </w:pPr>
      <w:r>
        <w:t xml:space="preserve">1. den Umgang mit diesen Informationen gesondert festlegen,</w:t>
      </w:r>
    </w:p>
    <w:p>
      <w:pPr>
        <w:ind w:left="420"/>
      </w:pPr>
      <w:r>
        <w:t xml:space="preserve">2. jegliche Weitergabe dieser Informationen untersagen oder</w:t>
      </w:r>
    </w:p>
    <w:p>
      <w:pPr>
        <w:ind w:left="420"/>
      </w:pPr>
      <w:r>
        <w:t xml:space="preserve">3. deren Weitergabe einschränken.</w:t>
      </w:r>
    </w:p>
    <w:p>
      <w:r>
        <w:rPr>
          <w:color w:val="555555"/>
          <w:sz w:val="17"/>
        </w:rPr>
        <w:t xml:space="preserve">Zitiervorschlag: § 12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