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WpI-InhKontrollV — Inkrafttreten</w:t>
      </w:r>
    </w:p>
    <w:p>
      <w:r>
        <w:rPr>
          <w:color w:val="555555"/>
          <w:sz w:val="18"/>
        </w:rPr>
        <w:t xml:space="preserve">Wertpapierinstituts-Inhaberkontrollverordnung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WpI-InhKontrollV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https://recht.nulegal.eu/gesetze/WpI-InhKontrollV/12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