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WpI-InhKontrollV — Zielunternehmen</w:t>
      </w:r>
    </w:p>
    <w:p>
      <w:r>
        <w:rPr>
          <w:color w:val="555555"/>
          <w:sz w:val="18"/>
        </w:rPr>
        <w:t xml:space="preserve">Wertpapierinstituts-Inhaberkontrollverordnung</w:t>
      </w:r>
    </w:p>
    <w:p>
      <w:r>
        <w:rPr>
          <w:color w:val="555555"/>
          <w:sz w:val="18"/>
        </w:rPr>
        <w:t xml:space="preserve">Stand: 16.01.2024 (konsolidierte Textfassung, kein amtliches Inkrafttretensdatum)</w:t>
      </w:r>
    </w:p>
    <w:p>
      <w:r>
        <w:t xml:space="preserve">Zielunternehmen im Sinne dieser Verordnung ist das Wertpapierinstitut im Sinne des § 2 Absatz 1 des Wertpapierinstitutsgesetzes, an dem eine bedeutende Beteiligung im Sinne des § 2 Absatz 23 des Wertpapierinstitutsgesetzes erworben, verändert oder aufgegeben werden soll oder eine bedeutende Beteiligung im Sinne des § 2 Absatz 23 des Wertpapierinstitutsgesetzes unabsichtlich erworben, verändert oder aufgegeben wurde.</w:t>
      </w:r>
    </w:p>
    <w:p>
      <w:r>
        <w:rPr>
          <w:color w:val="555555"/>
          <w:sz w:val="17"/>
        </w:rPr>
        <w:t xml:space="preserve">Zitiervorschlag: § 1 WpI-InhKontrollV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https://recht.nulegal.eu/gesetze/WpI-InhKontrollV/1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