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WpI-AnzV</w:t>
      </w:r>
    </w:p>
    <w:p>
      <w:r>
        <w:rPr>
          <w:color w:val="555555"/>
          <w:sz w:val="18"/>
        </w:rPr>
        <w:t xml:space="preserve">Wertpapierinstituts-Anzeigenverordnung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Auf Grund des § 14 Absatz 2 und 3 Satz 1, 3 und 4 in Verbindung mit § 40 Absatz 4, § 66 Absatz 1 Satz 3 und § 68 Absatz 2 des Wertpapierinstitutsgesetzes vom 12. Mai 2021 (BGBl. I S. 990) in Verbindung mit § 1d Nummer 2 und 3 der Verordnung zur Übertragung von Befugnissen zum Erlass von Rechtsverordnungen auf die Bundesanstalt für Finanzdienstleistungsaufsicht vom 13. Dezember 2002 (BGBl. 2003 I S. 3), der durch Artikel 1 der Verordnung vom 26. Juni 2021 (BGBl. I S. 2027) eingefügt worden ist, verordnet die Bundesanstalt für Finanzdienstleistungsaufsicht für den Fall des § 14 Absatz 2 Satz 1 und 2 des Wertpapierinstitutsgesetzes im Benehmen, im Übrigen im Einvernehmen mit der Deutschen Bundesbank und nach Anhörung der Spitzenverbände der Wertpapierinstitute:</w:t>
      </w:r>
    </w:p>
    <w:p>
      <w:r>
        <w:rPr>
          <w:color w:val="555555"/>
          <w:sz w:val="17"/>
        </w:rPr>
        <w:t xml:space="preserve">Zitiervorschlag: Eingangsformel WpI-AnzV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https://recht.nulegal.eu/gesetze/WpI-AnzV/eingangsformel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