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WpI-AnzV — Anzeigen nach § 64 Absatz 1 Nummer 12 und Absatz 2 des Wertpapierinstitutsgesetzes</w:t>
      </w:r>
    </w:p>
    <w:p>
      <w:r>
        <w:rPr>
          <w:color w:val="555555"/>
          <w:sz w:val="18"/>
        </w:rPr>
        <w:t xml:space="preserve">Wertpapierinstituts-Anzeigenverordnung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Anzeigen nach § 64 Absatz 1 Nummer 12 und Absatz 2 des Wertpapierinstitutsgesetzes müssen Angaben über die Höhe und die Art der Berechnung des nach § 64 Absatz 1 Nummer 12 des Wertpapierinstitutsgesetzes maßgeblichen Prozentsatzes enthalten.</w:t>
      </w:r>
    </w:p>
    <w:p>
      <w:r>
        <w:t xml:space="preserve">(2) Anzeigen nach § 64 Absatz 2 Satz 2 des Wertpapierinstitutsgesetzes sind als Änderungsanzeigen zu kennzeichnen.</w:t>
      </w:r>
    </w:p>
    <w:p>
      <w:r>
        <w:t xml:space="preserve">(3) Kredite sind nicht nach § 64 Absatz 2 Satz 2 des Wertpapierinstitutsgesetzes anzuzeigen, wenn sich die rechtsgeschäftliche Änderung der Kreditbedingungen auf eine Anpassung des Zinssatzes entsprechend der Entwicklung des Marktzinses beschränkt.</w:t>
      </w:r>
    </w:p>
    <w:p>
      <w:r>
        <w:rPr>
          <w:color w:val="555555"/>
          <w:sz w:val="17"/>
        </w:rPr>
        <w:t xml:space="preserve">Zitiervorschlag: § 3 WpI-AnzV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https://recht.nulegal.eu/gesetze/WpI-AnzV/3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