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WpI-AnzV — Inkrafttreten</w:t>
      </w:r>
    </w:p>
    <w:p>
      <w:r>
        <w:rPr>
          <w:color w:val="555555"/>
          <w:sz w:val="18"/>
        </w:rPr>
        <w:t xml:space="preserve">Wertpapierinstituts-Anzeigenverordnung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22 WpI-AnzV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https://recht.nulegal.eu/gesetze/WpI-AnzV/22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WpI-AnzV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