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WpI-AnzV — Einreichung von Finanzinformationen nach § 66 Absatz 2 des Wertpapierinstitutsgesetzes bei der Deutschen Bundesbank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Für die Einreichung von Finanzinformationen nach § 66 Absatz 2 des Wertpapierinstitutsgesetzes haben die Kleinen und Mittleren Wertpapierinstitute die folgenden Formulare aus den Anlagen dieser Verordnung zu verwenden:</w:t>
      </w:r>
    </w:p>
    <w:p>
      <w:pPr>
        <w:ind w:left="420"/>
      </w:pPr>
      <w:r>
        <w:t xml:space="preserve">1. für die Gewinn- und Verlustrechnung das Formular „Finanzinformationen gemäß § 66 Absatz 2 WpIG – Gewinn- und Verlustrechnung –“ nach Anlage 9 und</w:t>
      </w:r>
    </w:p>
    <w:p>
      <w:pPr>
        <w:ind w:left="420"/>
      </w:pPr>
      <w:r>
        <w:t xml:space="preserve">2. für den Vermögensstatus das Formular „Finanzinformationen gemäß § 66 Absatz 2 WpIG – Vermögensstatus –“ nach Anlage 10.</w:t>
      </w:r>
    </w:p>
    <w:p>
      <w:r>
        <w:t xml:space="preserve">(2) Der Berichtszeitraum für die Finanzinformationen umfasst ein Quartal. Meldestichtag ist jeweils der letzte Kalendertag des Berichtszeitraums.</w:t>
      </w:r>
    </w:p>
    <w:p>
      <w:r>
        <w:t xml:space="preserve">(3) Die Finanzinformationen sind zu folgenden Terminen bis Geschäftsschluss einzureichen: 12. Mai, 11. August, 11. November und 11. Februar. Fällt der Einreichungstermin auf einen gesetzlichen Feiertag, einen Samstag oder einen Sonntag, so sind die Daten am darauffolgenden Geschäftstag zu übermitteln.</w:t>
      </w:r>
    </w:p>
    <w:p>
      <w:r>
        <w:t xml:space="preserve">(4) Die Finanzinformationen sind der Deutschen Bundesbank elektronisch zu übermitteln. Die Bundesbank veröffentlicht auf ihrer Internetseite die zu verwendenden Datenformate und den Übertragungsweg.</w:t>
      </w:r>
    </w:p>
    <w:p>
      <w:r>
        <w:rPr>
          <w:color w:val="555555"/>
          <w:sz w:val="17"/>
        </w:rPr>
        <w:t xml:space="preserve">Zitiervorschlag: § 19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