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WpI-AnzV — Anzeigen nach § 64 Absatz 1 Nummer 11, § 65 Absatz 2 Nummer 1 oder nach § 67 Absatz 3 des Wertpapierinstitutsgesetzes</w:t>
      </w:r>
    </w:p>
    <w:p>
      <w:r>
        <w:rPr>
          <w:color w:val="555555"/>
          <w:sz w:val="18"/>
        </w:rPr>
        <w:t xml:space="preserve">Wertpapierinstituts-Anzeigenverordnung</w:t>
      </w:r>
    </w:p>
    <w:p>
      <w:r>
        <w:rPr>
          <w:color w:val="555555"/>
          <w:sz w:val="18"/>
        </w:rPr>
        <w:t xml:space="preserve">Stand: 01.04.2026 (konsolidierte Textfassung, kein amtliches Inkrafttretensdatum)</w:t>
      </w:r>
    </w:p>
    <w:p>
      <w:r>
        <w:t xml:space="preserve">(1) Einzelanzeigen von Wertpapierinstituten über aktivische Beteiligungsverhältnisse nach § 64 Absatz 1 Nummer 11 des Wertpapierinstitutsgesetzes sind mit dem Formular „Aktivische Beteiligungsanzeige“ nach Anlage 6 einzureichen. Bei Änderungen des Beteiligungsverhältnisses sind Einzelanzeigen einzureichen, wenn</w:t>
      </w:r>
    </w:p>
    <w:p>
      <w:pPr>
        <w:ind w:left="420"/>
      </w:pPr>
      <w:r>
        <w:t xml:space="preserve">1. durch die Änderung 20 Prozent, 30 Prozent oder 50 Prozent des Kapitals oder der Stimmrechte des Unternehmens erreicht, über- oder unterschritten werden,</w:t>
      </w:r>
    </w:p>
    <w:p>
      <w:pPr>
        <w:ind w:left="420"/>
      </w:pPr>
      <w:r>
        <w:t xml:space="preserve">2. das Unternehmen ein Tochterunternehmen wird oder nicht mehr ist,</w:t>
      </w:r>
    </w:p>
    <w:p>
      <w:pPr>
        <w:ind w:left="420"/>
      </w:pPr>
      <w:r>
        <w:t xml:space="preserve">3. die gehaltenen Anteile an dem Unternehmen nicht mehr oder nunmehr die Voraussetzungen des § 2 Absatz 23 Satz 3 des Wertpapierinstitutsgesetzes, des Artikel 10 Absatz 4 der Verordnung (EU) 2019/2033 oder des Artikels 91 Absatz 2 der Verordnung (EU) Nr. 575/2013 des Europäischen Parlaments und des Rates vom 26. Juni 2013 über Aufsichtsanforderungen an Kreditinstitute und Wertpapierfirmen und zur Änderung der Verordnung (EU) Nr. 646/2012 (ABl. L 176 vom 27.6.2013, S. 1; L 208 vom 2.8.2013, S. 68; L 321 vom 30.11.2013, S. 6; L 193 vom 21.7.2015, S. 166; L 20 vom 25.1.2017, S. 3), die zuletzt durch die Verordnung (EU) Nr. 2021/558 (ABl. L 116 vom 6.4.2021, S. 25) geändert worden ist, in ihrer jeweils geltenden Fassung erfüllen,</w:t>
      </w:r>
    </w:p>
    <w:p>
      <w:pPr>
        <w:ind w:left="420"/>
      </w:pPr>
      <w:r>
        <w:t xml:space="preserve">4. unmittelbar gehaltene Anteile ganz oder teilweise auf ein Tochterunternehmen übertragen werden oder</w:t>
      </w:r>
    </w:p>
    <w:p>
      <w:pPr>
        <w:ind w:left="420"/>
      </w:pPr>
      <w:r>
        <w:t xml:space="preserve">5. sich bei ganz oder teilweise mittelbar gehaltenen Anteilen die Anzahl oder die Identität der zwischengeschalteten Unternehmen verändert oder die Anteile nunmehr ganz oder teilweise vom Wertpapierinstitut selbst gehalten oder unter den Beteiligten umverteilt werden.</w:t>
      </w:r>
    </w:p>
    <w:p>
      <w:r>
        <w:t xml:space="preserve">(2) Sammelanzeigen von Großen Wertpapierinstituten über aktivische Beteiligungsverhältnisse nach § 65 Absatz 2 Nummer 1 des Wertpapierinstitutsgesetzes oder von Investmentholdinggesellschaften nach § 67 Absatz 3 des Wertpapierinstitutsgesetzes sind nach dem Stand vom 31. Dezember des Vorjahres bis zum 15. Juni des Folgejahres als Sammlung fortlaufend nummerierter Teilanzeigen mit dem Formular „Aktivische Beteiligungsanzeige“ nach Anlage 6 einzureichen.</w:t>
      </w:r>
    </w:p>
    <w:p>
      <w:r>
        <w:t xml:space="preserve">(3) Für die Berechnung der Stimmrechtsanteile nach den Absätzen 1 und 2 gelten § 33 Absatz 1 des Wertpapierhandelsgesetzes in Verbindung mit der Wertpapierhandelsanzeigeverordnung, § 34 Absatz 1 und 2, § 35 Absatz 1 bis 3 des Wertpapierhandelsgesetzes in Verbindung mit der Transparenzrichtlinie-Durchführungsverordnung und § 36 des Wertpapierhandelsgesetzes entsprechend. Unberücksichtigt bleiben die Stimmrechte oder Kapitalanteile, die Wertpapierinstitute im Rahmen des Emissionsgeschäfts nach § 2 Absatz 2 Nummer 2 des Wertpapierinstitutsgesetzes halten, vorausgesetzt, diese Rechte werden nicht ausgeübt oder anderweitig benutzt, um in die Geschäftsführung des Emittenten einzugreifen, und sie werden innerhalb eines Jahres nach dem Zeitpunkt des Erwerbs veräußert.</w:t>
      </w:r>
    </w:p>
    <w:p>
      <w:r>
        <w:t xml:space="preserve">(4) Erfüllt ein Beteiligungsverhältnis mehrere Anzeigetatbestände, so ist nur ein Formular zu verwenden. Für jedes weitere anzeigepflichtige Beteiligungsverhältnis ist unter Berücksichtigung der Regelung des Satzes 1 ein gesondertes Formular zu verwenden. Bei komplexen Beteiligungsstrukturen ist der Anzeige zusätzlich das Formular „Darstellung komplexer Beteiligungsstrukturen“ nach Anlage 7 beizufügen. Komplexe Beteiligungsstrukturen liegen insbesondere vor bei Beteiligungen, die gleichzeitig direkt und indirekt über ein oder mehrere Unternehmen, über mehrere Beteiligungsketten, im Zusammenwirken mit anderen, bei Treuhandverhältnissen oder in anderen Fällen der Zurechnung von Stimmrechtsanteilen nach Absatz 3 in Verbindung mit § 34 Absatz 1 Satz 1 Nummer 2 bis 8 und Absatz 2 des Wertpapierhandelsgesetzes gehalten werden.</w:t>
      </w:r>
    </w:p>
    <w:p>
      <w:r>
        <w:t xml:space="preserve">(5) Auf Verlangen der Bundesanstalt oder der zuständigen Hauptverwaltung der Deutschen Bundesbank sind weitere Angaben, insbesondere zu Übernahmepreis und Veräußerungserlös, einzureichen.</w:t>
      </w:r>
    </w:p>
    <w:p>
      <w:r>
        <w:rPr>
          <w:color w:val="555555"/>
          <w:sz w:val="17"/>
        </w:rPr>
        <w:t xml:space="preserve">Zitiervorschlag: § 14 WpI-AnzV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https://recht.nulegal.eu/gesetze/WpI-AnzV/14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