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WpI-AnzV — Anzeigen nach § 64 Absatz 1 Nummer 6 des Wertpapierinstitutsgesetzes</w:t>
      </w:r>
    </w:p>
    <w:p>
      <w:r>
        <w:rPr>
          <w:color w:val="555555"/>
          <w:sz w:val="18"/>
        </w:rPr>
        <w:t xml:space="preserve">Wertpapierinstituts-Anzeigenverordnung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(1) Die Anzeige nach § 64 Absatz 1 Nummer 6 des Wertpapierinstitutsgesetzes muss enthalten:</w:t>
      </w:r>
    </w:p>
    <w:p>
      <w:pPr>
        <w:ind w:left="420"/>
      </w:pPr>
      <w:r>
        <w:t xml:space="preserve">1. die Bezeichnung des Staates, in dem die Zweigstelle errichtet, verlegt oder geschlossen oder die grenzüberschreitende Dienstleistung aufgenommen oder beendet wurde,</w:t>
      </w:r>
    </w:p>
    <w:p>
      <w:pPr>
        <w:ind w:left="420"/>
      </w:pPr>
      <w:r>
        <w:t xml:space="preserve">2. die Anschrift der Zweigstelle, die errichtet, verlegt oder geschlossen wurde; bei Verlegung der Zweigstelle ferner deren neue Anschrift und</w:t>
      </w:r>
    </w:p>
    <w:p>
      <w:pPr>
        <w:ind w:left="420"/>
      </w:pPr>
      <w:r>
        <w:t xml:space="preserve">3. die Bezeichnung aller aufgenommenen oder beendeten Wertpapierdienstleistungen, Wertpapiernebendienstleistungen und Nebengeschäfte im Sinne des § 2 Absatz 2 bis 4 des Wertpapierinstitutsgesetzes.</w:t>
      </w:r>
    </w:p>
    <w:p>
      <w:r>
        <w:t xml:space="preserve">Für die Anzeige ist das Formular „Zweigstelle und grenzüberschreitender Dienstleistungsverkehr ohne Errichtung einer Zweigstelle im Drittstaat“ nach Anlage 5 zu verwenden.</w:t>
      </w:r>
    </w:p>
    <w:p>
      <w:r>
        <w:t xml:space="preserve">(2) Die Anzeige nach § 64 Absatz 1 Nummer 6 des Wertpapierinstitutsgesetzes ist für jeden Drittstaat einzeln einzureichen.</w:t>
      </w:r>
    </w:p>
    <w:p>
      <w:r>
        <w:rPr>
          <w:color w:val="555555"/>
          <w:sz w:val="17"/>
        </w:rPr>
        <w:t xml:space="preserve">Zitiervorschlag: § 12 WpI-AnzV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https://recht.nulegal.eu/gesetze/WpI-AnzV/12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