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WpI-AnzV — Ersatzperson im Verhinderungsfall</w:t>
      </w:r>
    </w:p>
    <w:p>
      <w:r>
        <w:rPr>
          <w:color w:val="555555"/>
          <w:sz w:val="18"/>
        </w:rPr>
        <w:t xml:space="preserve">Wertpapierinstituts-Anzeigenverordnung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Die Bestimmungen nach den §§ 4 bis 9 gelten auch für die Ermächtigung einer Ersatzperson nach Artikel 8 Absatz 1 Buchstabe c und d der Delegierten Verordnung (EU) 2017/1943, die im Fall der Verhinderung eines Geschäftsleiters dessen Funktion ersetzen soll, sowie für deren Wegfall. Bei Wegfall dieser Ersatzperson hat das Wertpapierinstitut eine neue Ersatzperson, die diese Funktion ausübt, anzuzeigen.</w:t>
      </w:r>
    </w:p>
    <w:p>
      <w:r>
        <w:rPr>
          <w:color w:val="555555"/>
          <w:sz w:val="17"/>
        </w:rPr>
        <w:t xml:space="preserve">Zitiervorschlag: § 10 WpI-AnzV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https://recht.nulegal.eu/gesetze/WpI-AnzV/10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