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WpHGMaAnzV</w:t>
      </w:r>
    </w:p>
    <w:p>
      <w:r>
        <w:rPr>
          <w:color w:val="555555"/>
          <w:sz w:val="18"/>
        </w:rPr>
        <w:t xml:space="preserve">WpHG-Mitarbeiteranzeigeverordnung</w:t>
      </w:r>
    </w:p>
    <w:p>
      <w:r>
        <w:rPr>
          <w:color w:val="555555"/>
          <w:sz w:val="18"/>
        </w:rPr>
        <w:t xml:space="preserve">Historische Fassung: Stand 10.06.2019 bis 14.03.2026. Dies ist nicht die aktuelle Fassung.</w:t>
      </w:r>
    </w:p>
    <w:p>
      <w:r>
        <w:t xml:space="preserve">Auf Grund des § 34d Absatz 6 Satz 1 und 2 des Wertpapierhandelsgesetzes, der durch Artikel 1 Nummer 9 des Gesetzes vom 5. April 2011 (BGBl. I S. 538) eingefügt worden ist, in Verbindung mit § 1 Nummer 1 der Verordnung zur Übertragung von Befugnissen zum Erlass von Rechtsverordnungen auf die Bundesanstalt für Finanzdienstleistungsaufsicht, der zuletzt durch die Verordnung vom 23. Mai 2011 (BGBl. I S. 938) geändert worden ist, verordnet die Bundesanstalt für Finanzdienstleistungsaufsicht:</w:t>
      </w:r>
    </w:p>
    <w:p>
      <w:r>
        <w:rPr>
          <w:color w:val="555555"/>
          <w:sz w:val="17"/>
        </w:rPr>
        <w:t xml:space="preserve">Zitiervorschlag: Eingangsformel WpHGMaAnzV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https://recht.nulegal.eu/gesetze/WpHGMaAnzV/eingangsformel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