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WpHGMaAnzV — Einreichung der Anzeigen</w:t>
      </w:r>
    </w:p>
    <w:p>
      <w:r>
        <w:rPr>
          <w:color w:val="555555"/>
          <w:sz w:val="18"/>
        </w:rPr>
        <w:t xml:space="preserve">WpHG-Mitarbeiteranzeigeverordnung</w:t>
      </w:r>
    </w:p>
    <w:p>
      <w:r>
        <w:rPr>
          <w:color w:val="555555"/>
          <w:sz w:val="18"/>
        </w:rPr>
        <w:t xml:space="preserve">Historische Fassung: Stand 10.06.2019 bis 14.03.2026. Dies ist nicht die aktuelle Fassung.</w:t>
      </w:r>
    </w:p>
    <w:p>
      <w:r>
        <w:t xml:space="preserve">Die Anzeigen nach § 87 Absatz 1 Satz 2 bis 4, Absatz 4 Satz 2 und 3 sowie Absatz 5 Satz 2 und 3 des Wertpapierhandelsgesetzes sind im Wege der elektronischen Übermittlung unter Verwendung des von der Bundesanstalt bereitgestellten elektronischen Anzeigeverfahrens einzureichen. Bei der elektronischen Übermittlung sind dem jeweiligen Stand der Technik entsprechende Verfahren einzusetzen, die die Authentizität, Vertraulichkeit und Integrität der Daten gewährleisten. Im Falle der Nutzung allgemein zugänglicher Netze sind Verschlüsselungsverfahren anzuwenden. Vor der erstmaligen Verwendung des elektronischen Anzeigeverfahrens ist eine Anmeldung bei der Bundesanstalt erforderlich. Die Anmeldung hat über die Internetseite der Bundesanstalt zu erfolgen. Die Bundesanstalt teilt unverzüglich nach Eingang der Anmeldung die zur Verwendung des elektronischen Anzeigeverfahrens erforderliche Zugangskennung zu. Unmittelbar nach jeder erfolgreichen Übermittlung einer Anzeige erhält das Unternehmen eine Bestätigung über deren Eingang bei der Bundesanstalt.</w:t>
      </w:r>
    </w:p>
    <w:p>
      <w:r>
        <w:rPr>
          <w:color w:val="555555"/>
          <w:sz w:val="17"/>
        </w:rPr>
        <w:t xml:space="preserve">Zitiervorschlag: § 7 WpHGMaAnzV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https://recht.nulegal.eu/gesetze/WpHGMaAnzV/7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