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WpHG — Register Unabhängiger Honorar-Anlageberater; Verordnungsermächtigung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(1) Die Bundesanstalt führt auf ihrer Internetseite ein öffentliches Register Unabhängiger Honorar-Anlageberater über alle Wertpapierdienstleistungsunternehmen, die die Unabhängige Anlageberatung erbringen wollen.</w:t>
      </w:r>
    </w:p>
    <w:p>
      <w:r>
        <w:t xml:space="preserve">(2) Die Bundesanstalt hat ein Wertpapierdienstleistungsunternehmen auf Antrag in das Register Unabhängiger Honorar-Anlageberater einzutragen, wenn es</w:t>
      </w:r>
    </w:p>
    <w:p>
      <w:pPr>
        <w:ind w:left="420"/>
      </w:pPr>
      <w:r>
        <w:t xml:space="preserve">1. eine Erlaubnis nach § 32 des Kreditwesengesetzes oder nach § 15 des Wertpapierinstitutsgesetzes besitzt oder Zweigniederlassung eines Unternehmens nach § 53b Absatz 1 Satz 1 und 2 oder Absatz 7 des Kreditwesengesetzes oder nach § 73 Absatz 1 des Wertpapierinstitutsgesetzes ist,</w:t>
      </w:r>
    </w:p>
    <w:p>
      <w:pPr>
        <w:ind w:left="420"/>
      </w:pPr>
      <w:r>
        <w:t xml:space="preserve">2. die Anlageberatung im Sinne des § 2 Absatz 8 Satz 1 Nummer 10 erbringen darf und</w:t>
      </w:r>
    </w:p>
    <w:p>
      <w:pPr>
        <w:ind w:left="420"/>
      </w:pPr>
      <w:r>
        <w:t xml:space="preserve">3. der Bundesanstalt durch Bescheinigung eines geeigneten Prüfers nachweist, dass es in der Lage ist, die Anforderungen nach § 80 Absatz 7 zu erfüllen.</w:t>
      </w:r>
    </w:p>
    <w:p>
      <w:r>
        <w:t xml:space="preserve">Die Prüfung nach Absatz 2 Nummer 3 wird bei Kreditinstituten, die einem genossenschaftlichen Prüfungsverband angehören oder durch die Prüfungsstelle eines Sparkassen- und Giroverbandes geprüft werden, durch den zuständigen Prüfungsverband oder die zuständige Prüfungsstelle, soweit hinsichtlich Letzterer das Landesrecht dies vorsieht, vorgenommen. Geeignete Prüfer sind darüber hinaus Wirtschaftsprüfer, vereidigte Buchprüfer sowie Wirtschaftsprüfungs- und Buchprüfungsgesellschaften, die hinsichtlich des Prüfungsgegenstandes über ausreichende Kenntnisse verfügen.</w:t>
      </w:r>
    </w:p>
    <w:p>
      <w:r>
        <w:t xml:space="preserve">(3) Die Bundesanstalt hat die Eintragung im Register Unabhängiger Honorar-Anlageberater zu löschen, wenn</w:t>
      </w:r>
    </w:p>
    <w:p>
      <w:pPr>
        <w:ind w:left="420"/>
      </w:pPr>
      <w:r>
        <w:t xml:space="preserve">1. das Wertpapierdienstleistungsunternehmen gegenüber der Bundesanstalt auf die Eintragung verzichtet oder</w:t>
      </w:r>
    </w:p>
    <w:p>
      <w:pPr>
        <w:ind w:left="420"/>
      </w:pPr>
      <w:r>
        <w:t xml:space="preserve">2. die Erlaubnis eines Wertpapierdienstleistungsunternehmens nach § 32 des Kreditwesengesetzes oder nach § 15 des Wertpapierinstitutsgesetzes insgesamt oder die Erlaubnis zum Erbringen der Anlageberatung erlischt oder aufgehoben wird.</w:t>
      </w:r>
    </w:p>
    <w:p>
      <w:r>
        <w:t xml:space="preserve">(4) Ein Wertpapierdienstleistungsunternehmen, das die Unabhängige Honorar-Anlageberatung nicht mehr erbringen will, muss dies der Bundesanstalt anzeigen.</w:t>
      </w:r>
    </w:p>
    <w:p>
      <w:r>
        <w:t xml:space="preserve">(5) Das Bundesministerium der Finanzen wird ermächtigt, durch Rechtsverordnung, die nicht der Zustimmung des Bundesrates bedarf, nähere Bestimmungen zu erlassen</w:t>
      </w:r>
    </w:p>
    <w:p>
      <w:pPr>
        <w:ind w:left="420"/>
      </w:pPr>
      <w:r>
        <w:t xml:space="preserve">1. zum Inhalt des Registers Unabhängiger Honorar-Anlageberater,</w:t>
      </w:r>
    </w:p>
    <w:p>
      <w:pPr>
        <w:ind w:left="420"/>
      </w:pPr>
      <w:r>
        <w:t xml:space="preserve">2. zu den Mitwirkungspflichten der Institute bei der Führung des Registers Unabhängiger Honorar-Anlageberater und</w:t>
      </w:r>
    </w:p>
    <w:p>
      <w:pPr>
        <w:ind w:left="420"/>
      </w:pPr>
      <w:r>
        <w:t xml:space="preserve">3. zum Nachweis nach Absatz 2 Satz 1 Nummer 3.</w:t>
      </w:r>
    </w:p>
    <w:p>
      <w:r>
        <w:t xml:space="preserve">(6) Das Bundesministerium der Finanzen kann die Ermächtigung durch Rechtsverordnung auf die Bundesanstalt übertragen.</w:t>
      </w:r>
    </w:p>
    <w:p>
      <w:r>
        <w:rPr>
          <w:color w:val="555555"/>
          <w:sz w:val="17"/>
        </w:rPr>
        <w:t xml:space="preserve">Zitiervorschlag: § 93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