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WpHG — Verringerung und Einschränkung von Positionen oder offenen Forderungen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Bundesanstalt kann von jedermann verlangen, die Größe der Positionen oder offenen Forderungen in Finanzinstrumenten zu verringern, soweit dies zur Durchsetzung der Verbote und Gebote der Verordnung (EU) Nr. 600/2014, der auf ihrer Grundlage erlassenen delegierten Rechtsakte und Durchführungsrechtsakte der Europäischen Kommission oder der Vorschriften der Abschnitte 9 bis 11 dieses Gesetzes sowie der zur Durchführung dieser Vorschriften erlassenen Rechtsverordnungen geboten ist.</w:t>
      </w:r>
    </w:p>
    <w:p>
      <w:r>
        <w:t xml:space="preserve">(2) Die Bundesanstalt kann für jedermann die Möglichkeit einschränken, eine Position in Warenderivaten einzugehen, soweit dies zur Durchsetzung der Verbote und Gebote der in Absatz 1 genannten Vorschriften erforderlich ist.</w:t>
      </w:r>
    </w:p>
    <w:p>
      <w:r>
        <w:rPr>
          <w:color w:val="555555"/>
          <w:sz w:val="17"/>
        </w:rPr>
        <w:t xml:space="preserve">Zitiervorschlag: § 9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