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WpHG — Einsatz von Mitarbeitern in der Anlageberatung, als Vertriebsbeauftragte, in der Finanzportfolioverwaltung oder als Compliance-Beauftragte; Verordnungsermächtigung</w:t>
      </w:r>
    </w:p>
    <w:p>
      <w:r>
        <w:rPr>
          <w:color w:val="555555"/>
          <w:sz w:val="18"/>
        </w:rPr>
        <w:t xml:space="preserve">Wertpapierhandelsgesetz</w:t>
      </w:r>
    </w:p>
    <w:p>
      <w:r>
        <w:rPr>
          <w:color w:val="555555"/>
          <w:sz w:val="18"/>
        </w:rPr>
        <w:t xml:space="preserve">Stand: 16.04.2026 (konsolidierte Textfassung, kein amtliches Inkrafttretensdatum)</w:t>
      </w:r>
    </w:p>
    <w:p>
      <w:r>
        <w:t xml:space="preserve">(1) Ein Wertpapierdienstleistungsunternehmen darf einen Mitarbeiter nur dann mit der Anlageberatung betrauen, wenn dieser sachkundig ist und über die für die Tätigkeit erforderliche Zuverlässigkeit verfügt.</w:t>
      </w:r>
    </w:p>
    <w:p>
      <w:r>
        <w:t xml:space="preserve">(2) Ein Wertpapierdienstleistungsunternehmen darf einen Mitarbeiter nur dann damit betrauen, Kunden über Finanzinstrumente, strukturierte Einlagen, Wertpapierdienstleistungen oder Wertpapiernebendienstleistungen zu informieren (Vertriebsmitarbeiter), wenn dieser sachkundig ist und über die für die Tätigkeit erforderliche Zuverlässigkeit verfügt.</w:t>
      </w:r>
    </w:p>
    <w:p>
      <w:r>
        <w:t xml:space="preserve">(3) Ein Wertpapierdienstleistungsunternehmen darf einen Mitarbeiter nur dann mit der Finanzportfolioverwaltung betrauen, wenn dieser sachkundig ist und über die für die Tätigkeit erforderliche Zuverlässigkeit verfügt.</w:t>
      </w:r>
    </w:p>
    <w:p>
      <w:r>
        <w:t xml:space="preserve">(4) Ein Wertpapierdienstleistungsunternehmen darf einen Mitarbeiter mit der Ausgestaltung, Umsetzung oder Überwachung von Vertriebsvorgaben im Sinne des § 80 Absatz 1 Satz 2 Nummer 3 nur dann betrauen (Vertriebsbeauftragter), wenn dieser sachkundig ist und über die für die Tätigkeit erforderliche Zuverlässigkeit verfügt.</w:t>
      </w:r>
    </w:p>
    <w:p>
      <w:r>
        <w:t xml:space="preserve">(5) Ein Wertpapierdienstleistungsunternehmen darf einen Mitarbeiter nur dann mit der Verantwortlichkeit für die Compliance-Funktion im Sinne des Artikels 22 Absatz 2 der Delegierten Verordnung (EU) 2017/565 und für die Berichte an die Geschäftsleitung nach Artikel 25 Absatz 2 der Delegierten Verordnung (EU) 2017/565 betrauen (Compliance-Beauftragter), wenn dieser sachkundig ist und über die für die Tätigkeit erforderliche Zuverlässigkeit verfügt.</w:t>
      </w:r>
    </w:p>
    <w:p>
      <w:r>
        <w:t xml:space="preserve">(6) Liegen Tatsachen vor, aus denen sich ergibt, dass ein Mitarbeiter nach den Absätzen 1 bis 5</w:t>
      </w:r>
    </w:p>
    <w:p>
      <w:pPr>
        <w:ind w:left="420"/>
      </w:pPr>
      <w:r>
        <w:t xml:space="preserve">1. nicht oder nicht mehr die Anforderungen nach den Absätzen 1 bis 4, jeweils auch in Verbindung mit § 96, oder Absatz 5 erfüllt, kann die Bundesanstalt unbeschadet ihrer Befugnisse nach § 6 dem Wertpapierdienstleistungsunternehmen untersagen, den Mitarbeiter in der jeweils betroffenen Tätigkeit einzusetzen, solange dieser die gesetzlichen Anforderungen nicht erfüllt, oder</w:t>
      </w:r>
    </w:p>
    <w:p>
      <w:pPr>
        <w:ind w:left="420"/>
      </w:pPr>
      <w:r>
        <w:t xml:space="preserve">2. gegen</w:t>
      </w:r>
    </w:p>
    <w:p>
      <w:pPr>
        <w:ind w:left="780"/>
      </w:pPr>
      <w:r>
        <w:t xml:space="preserve">a) Vorschriften der Abschnitte 3 und 9 bis 11 dieses Gesetzes sowie zur Durchführung dieser Vorschriften erlassene Rechtsverordnungen,</w:t>
      </w:r>
    </w:p>
    <w:p>
      <w:pPr>
        <w:ind w:left="780"/>
      </w:pPr>
      <w:r>
        <w:t xml:space="preserve">b) Vorschriften der Verordnung (EU) Nr. 596/2014, insbesondere deren Artikel 4 und 14 bis 21, sowie die auf Grundlage dieser Artikel erlassenen delegierten Rechtsakte und Durchführungsrechtsakte der Europäischen Kommission,</w:t>
      </w:r>
    </w:p>
    <w:p>
      <w:pPr>
        <w:ind w:left="780"/>
      </w:pPr>
      <w:r>
        <w:t xml:space="preserve">c) Vorschriften der Verordnung (EU) Nr. 600/2014, insbesondere die in den Titeln II bis VI enthaltenen Artikel sowie die auf Grundlage dieser Artikel erlassenen delegierten Rechtsakte und Durchführungsrechtsakte der Europäischen Kommission, oder</w:t>
      </w:r>
    </w:p>
    <w:p>
      <w:pPr>
        <w:ind w:left="780"/>
      </w:pPr>
      <w:r>
        <w:t xml:space="preserve">d) Vorschriften der Verordnung (EU) 2016/1011 sowie die auf deren Grundlage erlassenen delegierten Rechtsakte und Durchführungsvorschriften der Europäischen Kommission</w:t>
      </w:r>
    </w:p>
    <w:p>
      <w:pPr>
        <w:ind w:left="420"/>
      </w:pPr>
      <w:r>
        <w:t xml:space="preserve">verstoßen hat, deren Einhaltung bei der Durchführung seiner Tätigkeit zu beachten ist, kann die Bundesanstalt unbeschadet ihrer Befugnisse nach § 6</w:t>
      </w:r>
    </w:p>
    <w:p>
      <w:pPr>
        <w:ind w:left="780"/>
      </w:pPr>
      <w:r>
        <w:t xml:space="preserve">e) das Wertpapierdienstleistungsunternehmen und den Mitarbeiter verwarnen oder</w:t>
      </w:r>
    </w:p>
    <w:p>
      <w:pPr>
        <w:ind w:left="780"/>
      </w:pPr>
      <w:r>
        <w:t xml:space="preserve">f) dem Wertpapierdienstleistungsunternehmen für eine Dauer von bis zu zwei Jahren untersagen, den Mitarbeiter in der jeweils betroffenen Tätigkeit einzusetzen.</w:t>
      </w:r>
    </w:p>
    <w:p>
      <w:r>
        <w:t xml:space="preserve">Die Bundesanstalt kann unanfechtbar gewordene Anordnungen im Sinne des Satzes 1 auf ihrer Internetseite öffentlich bekannt machen, es sei denn, diese Veröffentlichung wäre geeignet, den berechtigten Interessen des Wertpapierdienstleistungsunternehmens zu schaden. Die öffentliche Bekanntmachung nach Satz 2 hat ohne Nennung des Namens des betroffenen Mitarbeiters zu erfolgen. Widerspruch und Anfechtungsklage gegen Maßnahmen nach Satz 1 haben keine aufschiebende Wirkung.</w:t>
      </w:r>
    </w:p>
    <w:p>
      <w:r>
        <w:t xml:space="preserve">(7) (wegegfallen)</w:t>
      </w:r>
    </w:p>
    <w:p>
      <w:r>
        <w:t xml:space="preserve">(8) Die Absätze 1 bis 7 sind nicht anzuwenden auf diejenigen Mitarbeiter eines Wertpapierdienstleistungsunternehmens, die ausschließlich in einer Zweigniederlassung im Sinne des § 24a des Kreditwesengesetzes, des § 70 des Wertpapierinstitutsgesetzes oder in mehreren solcher Zweigniederlassungen tätig sind.</w:t>
      </w:r>
    </w:p>
    <w:p>
      <w:r>
        <w:t xml:space="preserve">(9) Das Bundesministerium der Finanzen kann durch Rechtsverordnung, die nicht der Zustimmung des Bundesrates bedarf, die näheren Anforderungen an die Sachkunde und die Zuverlässigkeit nach den Absätzen 1 bis 4, jeweils auch in Verbindung mit § 96, sowie nach Absatz 5 regeln. Das Bundesministerium der Finanzen kann die Ermächtigung durch Rechtsverordnung ohne Zustimmung des Bundesrates auf die Bundesanstalt übertragen.</w:t>
      </w:r>
    </w:p>
    <w:p>
      <w:r>
        <w:t xml:space="preserve">(10) Die Absätze 1 bis 3 gelten nicht für Immobiliar-Verbraucherdarlehensverträge, die an die Vorbedingung geknüpft sind, dass dem Verbraucher eine Wertpapierdienstleistung in Bezug auf gedeckte Schuldverschreibungen, die zur Besicherung der Finanzierung des Kredits begeben worden sind und denen dieselben Konditionen wie dem Immobiliar-Verbraucherdarlehensvertrag zugrunde liegen, erbracht wird, und wenn damit das Darlehen ausgezahlt, refinanziert oder abgelöst werden kann.</w:t>
      </w:r>
    </w:p>
    <w:p>
      <w:r>
        <w:rPr>
          <w:color w:val="555555"/>
          <w:sz w:val="17"/>
        </w:rPr>
        <w:t xml:space="preserve">Zitiervorschlag: § 87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