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WpHG — Anlagestrategieempfehlungen und Anlageempfehlungen; Verordnungsermächtigung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Unternehmen, die Anlagestrategieempfehlungen im Sinne des Artikels 3 Absatz 1 Nummer 34 der Verordnung (EU) Nr. 596/2014 oder Anlageempfehlungen im Sinne des Artikels 3 Absatz 1 Nummer 35 der Verordnung (EU) Nr. 596/2014 erstellen oder verbreiten, müssen so organisiert sein, dass Interessenkonflikte im Sinne des Artikels 20 Absatz 1 der Verordnung (EU) Nr. 596/2014 möglichst gering sind. Sie müssen insbesondere über angemessene Kontrollverfahren verfügen, die geeignet sind, Verstößen gegen die Verpflichtungen nach Artikel 20 Absatz 1 der Verordnung (EU) Nr. 596/2014 entgegenzuwirken.</w:t>
      </w:r>
    </w:p>
    <w:p>
      <w:r>
        <w:t xml:space="preserve">(2) Die Befugnisse der Bundesanstalt nach § 88 gelten hinsichtlich der Einhaltung der in Absatz 1 genannten Pflichten und der Pflichten, die sich aus Artikel 20 Absatz 1 der Verordnung (EU) Nr. 596/2014 in Verbindung mit einem auf der Grundlage von Artikel 20 Absatz 3 der Verordnung (EU) Nr. 596/2014 erlassenen delegierten Rechtsakt ergeben, entsprechend.</w:t>
      </w:r>
    </w:p>
    <w:p>
      <w:r>
        <w:t xml:space="preserve">(3) Das Bundesministerium der Finanzen kann durch Rechtsverordnung, die nicht der Zustimmung des Bundesrates bedarf, nähere Bestimmungen über die angemessene Organisation nach Absatz 1 Satz 1 erlassen. Das Bundesministerium der Finanzen kann die Ermächtigung durch Rechtsverordnung auf die Bundesanstalt übertragen.</w:t>
      </w:r>
    </w:p>
    <w:p>
      <w:r>
        <w:rPr>
          <w:color w:val="555555"/>
          <w:sz w:val="17"/>
        </w:rPr>
        <w:t xml:space="preserve">Zitiervorschlag: § 85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