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WpHG — Bestmögliche Ausführung von Kundenaufträgen</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Ein Wertpapierdienstleistungsunternehmen, das Aufträge seiner Kunden für den Kauf oder Verkauf von Finanzinstrumenten im Sinne des § 2 Absatz 8 Satz 1 Nummer 1 bis 3 ausführt, muss</w:t>
      </w:r>
    </w:p>
    <w:p>
      <w:pPr>
        <w:ind w:left="420"/>
      </w:pPr>
      <w:r>
        <w:t xml:space="preserve">1. alle hinreichenden Vorkehrungen treffen, insbesondere Grundsätze zur Auftragsausführung festlegen und regelmäßig überprüfen, um das bestmögliche Ergebnis für seine Kunden zu erreichen und</w:t>
      </w:r>
    </w:p>
    <w:p>
      <w:pPr>
        <w:ind w:left="420"/>
      </w:pPr>
      <w:r>
        <w:t xml:space="preserve">2. sicherstellen, dass die Ausführung jedes einzelnen Kundenauftrags nach Maßgabe dieser Grundsätze vorgenommen wird.</w:t>
      </w:r>
    </w:p>
    <w:p>
      <w:r>
        <w:t xml:space="preserve">(2) Das Wertpapierdienstleistungsunternehmen muss bei der Aufstellung der Ausführungsgrundsätze alle relevanten Kriterien zur Erzielung des bestmöglichen Ergebnisses, insbesondere die Preise der Finanzinstrumente, die mit der Auftragsausführung verbundenen Kosten, die Geschwindigkeit, die Wahrscheinlichkeit der Ausführung und die Abwicklung des Auftrags sowie den Umfang und die Art des Auftrags berücksichtigen und die Kriterien unter Berücksichtigung der Merkmale des Kunden, des Kundenauftrags, des Finanzinstrumentes und des Ausführungsplatzes gewichten.</w:t>
      </w:r>
    </w:p>
    <w:p>
      <w:r>
        <w:t xml:space="preserve">(3) Führt das Wertpapierdienstleistungsunternehmen Aufträge von Privatkunden aus, müssen die Ausführungsgrundsätze Vorkehrungen dafür enthalten, dass sich das bestmögliche Ergebnis am Gesamtentgelt orientiert. Das Gesamtentgelt ergibt sich aus dem Preis für das Finanzinstrument und sämtlichen mit der Auftragsausführung verbundenen Kosten. Kann ein Auftrag über ein Finanzinstrument nach Maßgabe der Ausführungsgrundsätze des Wertpapierdienstleistungsunternehmens an mehreren konkurrierenden Plätzen ausgeführt werden, zählen zu den Kosten auch die eigenen Provisionen oder Gebühren, die das Wertpapierdienstleistungsunternehmen dem Kunden für eine Wertpapierdienstleistung in Rechnung stellt. Zu den bei der Berechnung des Gesamtentgelts zu berücksichtigenden Kosten zählen Gebühren und Entgelte des Ausführungsplatzes, an dem das Geschäft ausgeführt wird, Kosten für Clearing und Abwicklung und alle sonstigen Entgelte, die an Dritte gezahlt werden, die an der Auftragsausführung beteiligt sind.</w:t>
      </w:r>
    </w:p>
    <w:p>
      <w:r>
        <w:t xml:space="preserve">(4) Führt das Wertpapierdienstleistungsunternehmen einen Auftrag gemäß einer ausdrücklichen Kundenweisung aus, gilt die Pflicht zur Erzielung des bestmöglichen Ergebnisses entsprechend dem Umfang der Weisung als erfüllt.</w:t>
      </w:r>
    </w:p>
    <w:p>
      <w:r>
        <w:t xml:space="preserve">(5) Die Grundsätze zur Auftragsausführung müssen</w:t>
      </w:r>
    </w:p>
    <w:p>
      <w:pPr>
        <w:ind w:left="420"/>
      </w:pPr>
      <w:r>
        <w:t xml:space="preserve">1. Angaben zu den verschiedenen Ausführungsplätzen in Bezug auf jede Gattung von Finanzinstrumenten und die ausschlaggebenden Faktoren für die Auswahl eines Ausführungsplatzes,</w:t>
      </w:r>
    </w:p>
    <w:p>
      <w:pPr>
        <w:ind w:left="420"/>
      </w:pPr>
      <w:r>
        <w:t xml:space="preserve">2. mindestens die Ausführungsplätze, an denen das Wertpapierdienstleistungsunternehmen gleichbleibend die bestmöglichen Ergebnisse bei der Ausführung von Kundenaufträgen erzielen kann,</w:t>
      </w:r>
    </w:p>
    <w:p>
      <w:r>
        <w:t xml:space="preserve">enthalten. Lassen die Ausführungsgrundsätze im Sinne des Absatzes 1 Nummer 1 auch eine Auftragsausführung außerhalb von Handelsplätzen im Sinne von § 2 Absatz 22 zu, muss das Wertpapierdienstleistungsunternehmen seine Kunden auf diesen Umstand gesondert hinweisen und deren ausdrückliche Einwilligung generell oder in Bezug auf jedes Geschäft einholen, bevor die Kundenaufträge an diesen Ausführungsplätzen ausgeführt werden.</w:t>
      </w:r>
    </w:p>
    <w:p>
      <w:r>
        <w:t xml:space="preserve">(6) Das Wertpapierdienstleistungsunternehmen muss</w:t>
      </w:r>
    </w:p>
    <w:p>
      <w:pPr>
        <w:ind w:left="420"/>
      </w:pPr>
      <w:r>
        <w:t xml:space="preserve">1. seine Kunden vor der erstmaligen Erbringung von Wertpapierdienstleistungen über seine Ausführungsgrundsätze informieren und ihre Zustimmung zu diesen Grundsätzen einholen, und</w:t>
      </w:r>
    </w:p>
    <w:p>
      <w:pPr>
        <w:ind w:left="420"/>
      </w:pPr>
      <w:r>
        <w:t xml:space="preserve">2. seinen Kunden wesentliche Änderungen der Vorkehrungen nach Absatz 1 Nummer 1 unverzüglich mitteilen.</w:t>
      </w:r>
    </w:p>
    <w:p>
      <w:r>
        <w:t xml:space="preserve">Die Informationen über die Ausführungsgrundsätze müssen klar, ausführlich und auf eine für den Kunden verständliche Weise erläutern, wie das Wertpapierdienstleistungsunternehmen die Kundenaufträge ausführt.</w:t>
      </w:r>
    </w:p>
    <w:p>
      <w:r>
        <w:t xml:space="preserve">(7) Das Wertpapierdienstleistungsunternehmen muss in der Lage sein, einem Kunden auf Anfrage darzulegen, dass sein Auftrag entsprechend den Ausführungsgrundsätzen ausgeführt wurde.</w:t>
      </w:r>
    </w:p>
    <w:p>
      <w:r>
        <w:t xml:space="preserve">(8) Ein Wertpapierdienstleistungsunternehmen darf sowohl für die Ausführung von Kundenaufträgen an einem bestimmten Handelsplatz oder Ausführungsplatz als auch für die Weiterleitung von Kundenaufträgen an einen bestimmten Handelsplatz oder Ausführungsplatz weder eine Vergütung noch einen Rabatt oder einen nichtmonetären Vorteil annehmen, wenn dies einen Verstoß gegen die Anforderungen nach § 63 Absatz 1 bis 7 und 9, § 64 Absatz 1 und 5, den §§ 70, 80 Absatz 1 Satz 2 Nummer 2, Absatz 9 bis 11 oder die Absätze 1 bis 4 dieses Gesetzes oder Artikel 39a der Verordnung (EU) Nr. 600/2014 darstellen würde.</w:t>
      </w:r>
    </w:p>
    <w:p>
      <w:r>
        <w:t xml:space="preserve">(9) Nähere Bestimmungen ergeben sich aus den nach Artikel 27 Absatz 10 der Richtlinie 2014/65/EU erlassenen technischen Regulierungsstandards sowie aus der Delegierten Verordnung (EU) 2017/565, insbesondere zu</w:t>
      </w:r>
    </w:p>
    <w:p>
      <w:pPr>
        <w:ind w:left="420"/>
      </w:pPr>
      <w:r>
        <w:t xml:space="preserve">1. der Aufstellung der Ausführungsgrundsätze nach den Absätzen 1 bis 5 aus Artikel 64,</w:t>
      </w:r>
    </w:p>
    <w:p>
      <w:pPr>
        <w:ind w:left="420"/>
      </w:pPr>
      <w:r>
        <w:t xml:space="preserve">2. der Überprüfung der Vorkehrungen nach Absatz 1 aus Artikel 66,</w:t>
      </w:r>
    </w:p>
    <w:p>
      <w:pPr>
        <w:ind w:left="420"/>
      </w:pPr>
      <w:r>
        <w:t xml:space="preserve">3. Art, Umfang und Datenträger der Informationen über die Ausführungsgrundsätze nach Absatz 6 aus Artikel 66 und</w:t>
      </w:r>
    </w:p>
    <w:p>
      <w:pPr>
        <w:ind w:left="420"/>
      </w:pPr>
      <w:r>
        <w:t xml:space="preserve">4. den Pflichten von Wertpapierdienstleistungsunternehmen, die Aufträge ihrer Kunden an Dritte zur Ausführung weiterleiten oder die Finanzportfolioverwaltung betreiben, ohne die Aufträge oder Entscheidungen selbst auszuführen, im bestmöglichen Interesse ihrer Kunden zu handeln, aus Artikel 65.</w:t>
      </w:r>
    </w:p>
    <w:p>
      <w:r>
        <w:rPr>
          <w:color w:val="555555"/>
          <w:sz w:val="17"/>
        </w:rPr>
        <w:t xml:space="preserve">Zitiervorschlag: § 82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