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WpHG — Direkter elektronischer Zugang</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Ein Wertpapierdienstleistungsunternehmen, das einen direkten elektronischen Zugang zu einem Handelsplatz anbietet, muss</w:t>
      </w:r>
    </w:p>
    <w:p>
      <w:pPr>
        <w:ind w:left="420"/>
      </w:pPr>
      <w:r>
        <w:t xml:space="preserve">1. die Eignung der Kunden, die diesen Dienst nutzen, vor Gewährung des Zugangs beurteilen und regelmäßig überprüfen,</w:t>
      </w:r>
    </w:p>
    <w:p>
      <w:pPr>
        <w:ind w:left="420"/>
      </w:pPr>
      <w:r>
        <w:t xml:space="preserve">2. die im Zusammenhang mit diesem Dienst bestehenden Rechte und Pflichten des Kunden und des Wertpapierdienstleistungsunternehmens in einem schriftlichen Vertrag festlegen, wobei die Verantwortlichkeit des Wertpapierdienstleistungsunternehmens nach diesem Gesetz nicht auf den Kunden übertragen werden darf,</w:t>
      </w:r>
    </w:p>
    <w:p>
      <w:pPr>
        <w:ind w:left="420"/>
      </w:pPr>
      <w:r>
        <w:t xml:space="preserve">3. angemessene Handels- und Kreditschwellen für den Handel dieser Kunden festlegen,</w:t>
      </w:r>
    </w:p>
    <w:p>
      <w:pPr>
        <w:ind w:left="420"/>
      </w:pPr>
      <w:r>
        <w:t xml:space="preserve">4. den Handel dieser Kunden überwachen, um</w:t>
      </w:r>
    </w:p>
    <w:p>
      <w:pPr>
        <w:ind w:left="780"/>
      </w:pPr>
      <w:r>
        <w:t xml:space="preserve">a) sicherzustellen, dass die Kunden die nach Nummer 3 festgelegten Schwellen nicht überschreiten,</w:t>
      </w:r>
    </w:p>
    <w:p>
      <w:pPr>
        <w:ind w:left="780"/>
      </w:pPr>
      <w:r>
        <w:t xml:space="preserve">b) sicherzustellen, dass der Handel den Anforderungen der Verordnung (EU) Nr. 596/2014, dieses Gesetzes sowie der Vorschriften des Handelsplatzes entspricht,</w:t>
      </w:r>
    </w:p>
    <w:p>
      <w:pPr>
        <w:ind w:left="780"/>
      </w:pPr>
      <w:r>
        <w:t xml:space="preserve">c) marktstörende Handelsbedingungen oder auf Marktmissbrauch hindeutende Verhaltensweisen, die an die zuständige Behörde zu melden sind, erkennen zu können und</w:t>
      </w:r>
    </w:p>
    <w:p>
      <w:pPr>
        <w:ind w:left="780"/>
      </w:pPr>
      <w:r>
        <w:t xml:space="preserve">d) sicherzustellen, dass durch den Handel keine Risiken für das Wertpapierdienstleistungsunternehmen selbst entstehen.</w:t>
      </w:r>
    </w:p>
    <w:p>
      <w:r>
        <w:t xml:space="preserve">(2) Ein Wertpapierdienstleistungsunternehmen, das einen direkten elektronischen Zugang zu einem Handelsplatz anbietet, teilt dies der Bundesanstalt und den zuständigen Behörden des Handelsplatzes, an dem sie den direkten elektronischen Zugang anbietet, mit. Die Bundesanstalt kann dem Wertpapierdienstleistungsunternehmen vorschreiben, regelmäßig oder jederzeit auf Anforderung eine Beschreibung der in Absatz 1 genannten Systeme und Kontrollen sowie Nachweise für ihre Anwendung vorzulegen. Auf Ersuchen einer zuständigen Behörde des Handelsplatzes, zu dem ein Wertpapierdienstleistungsunternehmen direkten elektronischen Zugang bietet, leitet die Bundesanstalt diese Informationen unverzüglich an diese Behörde weiter.</w:t>
      </w:r>
    </w:p>
    <w:p>
      <w:r>
        <w:t xml:space="preserve">(3) Das Wertpapierdienstleistungsunternehmen sorgt dafür, dass Aufzeichnungen zu den in diesem Paragrafen genannten Angelegenheiten mindestens für fünf Jahre aufbewahrt werden, und stellt sicher, dass diese ausreichend sind, um der Bundesanstalt zu ermöglichen, die Einhaltung der Anforderungen dieses Gesetzes zu überprüfen.</w:t>
      </w:r>
    </w:p>
    <w:p>
      <w:r>
        <w:rPr>
          <w:color w:val="555555"/>
          <w:sz w:val="17"/>
        </w:rPr>
        <w:t xml:space="preserve">Zitiervorschlag: § 77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