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WpHG — KMU-Wachstumsmärkte; Verordnungsermächtigung</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Der Betreiber eines multilateralen Handelssystems kann dieses oder ein Segment des multilateralen Handelssystems bei der Bundesanstalt als Wachstumsmarkt für kleine und mittlere Unternehmen (KMU-Wachstumsmarkt) registrieren lassen, sofern folgende Anforderungen erfüllt sind:</w:t>
      </w:r>
    </w:p>
    <w:p>
      <w:pPr>
        <w:ind w:left="420"/>
      </w:pPr>
      <w:r>
        <w:t xml:space="preserve">1. bei mindestens 50 Prozent der Emittenten, deren Finanzinstrumente zum Handel auf dem multilateralen Handelssystem zugelassen sind, handelt es sich um kleine und mittlere Unternehmen;</w:t>
      </w:r>
    </w:p>
    <w:p>
      <w:pPr>
        <w:ind w:left="420"/>
      </w:pPr>
      <w:r>
        <w:t xml:space="preserve">2. der Betreiber hat geeignete Kriterien für die Zulassung der Finanzinstrumente zum Handel an dem Markt festgelegt;</w:t>
      </w:r>
    </w:p>
    <w:p>
      <w:pPr>
        <w:ind w:left="420"/>
      </w:pPr>
      <w:r>
        <w:t xml:space="preserve">3. der Betreiber macht die Zulassung von Finanzinstrumenten zum Handel an dem Markt davon abhängig, dass bei der Zulassung ausreichende Informationen veröffentlicht werden, um dem Publikum eine zutreffende Beurteilung des Emittenten und der Finanzinstrumente zu ermöglichen; bei diesen Informationen handelt es sich entweder um ein Zulassungsdokument oder einen Prospekt, falls auf Basis der Verordnung (EU) 2017/1129 festgelegte Anforderungen im Hinblick auf ein öffentliches Angebot im Zusammenhang mit der ursprünglichen Zulassung des Finanzinstruments zum Handel auf dem multilateralen Handelssystem Anwendung finden;</w:t>
      </w:r>
    </w:p>
    <w:p>
      <w:pPr>
        <w:ind w:left="420"/>
      </w:pPr>
      <w:r>
        <w:t xml:space="preserve">4. der Betreiber stellt sicher, dass eine geeignete regelmäßige Finanzberichterstattung durch den Emittenten am Markt stattfindet, dessen Finanzinstrumente zum Handel an dem multilateralen Handelssystem zugelassen sind, insbesondere durch geprüfte Jahresberichte;</w:t>
      </w:r>
    </w:p>
    <w:p>
      <w:pPr>
        <w:ind w:left="420"/>
      </w:pPr>
      <w:r>
        <w:t xml:space="preserve">5. die in Artikel 3 Absatz 1 Nummer 21 der Verordnung (EU) Nr. 596/2014 definierten Emittenten und die in Artikel 3 Absatz 1 Nummer 25 der Verordnung (EU) Nr. 596/2014 definierten Personen, die bei einem Emittenten Führungsaufgaben wahrnehmen, sowie die in Artikel 3 Absatz 1 Nummer 26 der Verordnung (EU) Nr. 596/2014 definierten Personen, die in enger Beziehung zu diesen stehen, erfüllen die jeweiligen Anforderungen, die für sie gemäß der Verordnung (EU) Nr. 596/2014 gelten;</w:t>
      </w:r>
    </w:p>
    <w:p>
      <w:pPr>
        <w:ind w:left="420"/>
      </w:pPr>
      <w:r>
        <w:t xml:space="preserve">6. der Betreiber erfasst Informationen, die von einem Emittenten auf Grund einer rechtlichen Verpflichtung veröffentlicht wurden, und stellt diese öffentlich zur Verfügung und</w:t>
      </w:r>
    </w:p>
    <w:p>
      <w:pPr>
        <w:ind w:left="420"/>
      </w:pPr>
      <w:r>
        <w:t xml:space="preserve">7. der Betreiber richtet wirksame Systeme und Kontrollen ein, die geeignet sind, einen Marktmissbrauch an dem betreffenden Markt gemäß der Verordnung (EU) Nr. 596/2014 zu erkennen und zu verhindern.</w:t>
      </w:r>
    </w:p>
    <w:p>
      <w:r>
        <w:t xml:space="preserve">Die Möglichkeit des Betreibers, zusätzliche Anforderungen festzulegen, bleibt unberührt.</w:t>
      </w:r>
    </w:p>
    <w:p>
      <w:r>
        <w:t xml:space="preserve">(1a) Handelt es sich bei dem KMU-Wachstumsmarkt um ein Segment eines multilateralen Handelssystems, so sind zusätzlich zu den in Absatz 1 genannten Vorrausetzungen die folgenden Anforderungen zu erfüllen:</w:t>
      </w:r>
    </w:p>
    <w:p>
      <w:pPr>
        <w:ind w:left="420"/>
      </w:pPr>
      <w:r>
        <w:t xml:space="preserve">1. das als KMU-Wachstumsmarkt registrierte Segment des multilateralen Handelssystems ist eindeutig von den anderen vom Betreiber des multilateralen Handelssystems betriebenen Marktsegmenten getrennt; insbesondere trägt das Segment einen anderen Namen, besitzt ein anderes Regelwerk, verwendet eine andere Marketingstrategie, weist eine andere Medienpräsenz auf und besitzt eine spezifisch zugewiesene Handelsplatz-Identifikationsnummer;</w:t>
      </w:r>
    </w:p>
    <w:p>
      <w:pPr>
        <w:ind w:left="420"/>
      </w:pPr>
      <w:r>
        <w:t xml:space="preserve">2. die in dem speziellen KMU-Wachstumsmarktsegment getätigten Geschäfte sind klar von anderem Marktgeschehen innerhalb der anderen Segmente des multilateralen Handelssystems zu unterscheiden und</w:t>
      </w:r>
    </w:p>
    <w:p>
      <w:pPr>
        <w:ind w:left="420"/>
      </w:pPr>
      <w:r>
        <w:t xml:space="preserve">3. auf Ersuchen der Bundesanstalt werden vom multilateralen Handelssystem ein umfassendes Verzeichnis der in dem betreffenden KMU-Wachstumsmarktsegment notierten Instrumente sowie alle von der zuständigen Behörde gegebenenfalls angeforderten Informationen über die Funktionsweise des KMU-Wachstumsmarktsegments vorgelegt.</w:t>
      </w:r>
    </w:p>
    <w:p>
      <w:r>
        <w:t xml:space="preserve">(1b) Für den Fall, dass der Emittent die Einbeziehung von Wertpapieren zum Handel an dem KMU-Wachstumsmarkt kündigt, findet § 39 Absatz 2 bis 6 des Börsengesetzes entsprechende Anwendung, sofern er nicht die Zulassung dieser Wertpapiere zum Handel im organisierten Markt beantragt.</w:t>
      </w:r>
    </w:p>
    <w:p>
      <w:r>
        <w:t xml:space="preserve">(2) Die Bundesanstalt hebt die Registrierung eines KMU-Wachstumsmarktes auf, wenn dessen Betreiber dies beantragt oder wenn die Voraussetzungen für eine Registrierung nach Absatz 1 oder Absatz 1a nicht mehr vorliegen. Die Bundesanstalt unterrichtet die Europäische Wertpapier- und Marktaufsichtsbehörde unverzüglich über die Registrierung eines KMU-Wachstumsmarktes und über deren Aufhebung.</w:t>
      </w:r>
    </w:p>
    <w:p>
      <w:r>
        <w:t xml:space="preserve">(3) Ein Finanzinstrument, das zum Handel an einem KMU-Wachstumsmarkt zugelassen ist, kann nur dann in einem anderen Handelsplatz gehandelt werden, wenn der Emittent des Finanzinstruments hierüber unterrichtet wurde und dem nicht widersprochen hat. Handelt es sich bei dem anderen Handelsplatz um einen KMU-Wachstumsmarkt, entstehen dem Emittenten im Hinblick auf diesen anderen KMU-Wachstumsmarkt keine Verpflichtungen in Bezug auf die Unternehmensführung und -kontrolle oder erstmalige, laufende oder punktuelle Veröffentlichungspflichten. Handelt es sich bei dem anderen Handelsplatz nicht um einen KMU-Wachstumsmarkt, so ist der Emittent im Hinblick auf diesen Handelsplatz über etwaige Verpflichtungen in Bezug auf die Unternehmensführung und -kontrolle oder in Bezug auf erstmalige, laufende oder punktuelle Veröffentlichungen, denen er unterliegen wird, zu unterrichten.</w:t>
      </w:r>
    </w:p>
    <w:p>
      <w:r>
        <w:t xml:space="preserve">(4) Das Bundesministerium der Finanzen kann durch Rechtsverordnung, die nicht der Zustimmung des Bundesrates bedarf, nähere Bestimmungen treffen</w:t>
      </w:r>
    </w:p>
    <w:p>
      <w:pPr>
        <w:ind w:left="420"/>
      </w:pPr>
      <w:r>
        <w:t xml:space="preserve">1. zur Art der Kriterien nach Absatz 1 Nummer 2,</w:t>
      </w:r>
    </w:p>
    <w:p>
      <w:pPr>
        <w:ind w:left="420"/>
      </w:pPr>
      <w:r>
        <w:t xml:space="preserve">2. zu Inhalt, Art, Umfang und Form der bei Zulassung zu veröffentlichenden Informationen nach Absatz 1 Nummer 3 und</w:t>
      </w:r>
    </w:p>
    <w:p>
      <w:pPr>
        <w:ind w:left="420"/>
      </w:pPr>
      <w:r>
        <w:t xml:space="preserve">3. zu Inhalt, Art, Umfang und Form der Berichterstattung nach Absatz 1 Nummer 4.</w:t>
      </w:r>
    </w:p>
    <w:p>
      <w:r>
        <w:t xml:space="preserve">Das Bundesministerium der Finanzen kann die Ermächtigung durch Rechtsverordnung auf die Bundesanstalt übertragen.</w:t>
      </w:r>
    </w:p>
    <w:p>
      <w:r>
        <w:rPr>
          <w:color w:val="555555"/>
          <w:sz w:val="17"/>
        </w:rPr>
        <w:t xml:space="preserve">Zitiervorschlag: § 76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