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WpHG — Besondere Anforderungen an multilaterale Handelssysteme</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Die Regeln für den Zugang zu einem multilateralen Handelssystem müssen mindestens den Anforderungen nach § 19 Absatz 2 und 4 Satz 1 und 2 des Börsengesetzes entsprechen.</w:t>
      </w:r>
    </w:p>
    <w:p>
      <w:r>
        <w:t xml:space="preserve">(2) Die Regeln für den Handel und die Preisermittlung dürfen dem Betreiber eines multilateralen Handelssystems keinen Ermessensspielraum einräumen; dabei müssen die Preise im multilateralen Handelssystem entsprechend den Regelungen des § 24 Absatz 2 des Börsengesetzes zustande kommen.</w:t>
      </w:r>
    </w:p>
    <w:p>
      <w:r>
        <w:t xml:space="preserve">(3) Der Betreiber eines multilateralen Handelssystems hat Vorkehrungen zu treffen, um</w:t>
      </w:r>
    </w:p>
    <w:p>
      <w:pPr>
        <w:ind w:left="420"/>
      </w:pPr>
      <w:r>
        <w:t xml:space="preserve">1. die Risiken, denen das System ausgesetzt ist, angemessen steuern zu können, insbesondere alle für den Betrieb des Handelssystems wesentlichen Risiken ermitteln und wirksam begrenzen zu können, und</w:t>
      </w:r>
    </w:p>
    <w:p>
      <w:pPr>
        <w:ind w:left="420"/>
      </w:pPr>
      <w:r>
        <w:t xml:space="preserve">2. einen reibungslosen und rechtzeitigen Abschluss der innerhalb seiner Systeme ausgeführten Geschäfte zu erleichtern.</w:t>
      </w:r>
    </w:p>
    <w:p>
      <w:r>
        <w:t xml:space="preserve">(4) Der Betreiber eines multilateralen Handelssystems muss fortlaufend über ausreichende Finanzmittel verfügen, um ein ordnungsgemäßes Funktionieren des Systems sicherzustellen, wobei der Art und dem Umfang der an dem Handelssystem abgeschlossenen Geschäfte sowie der Art und der Höhe der Risiken, denen es ausgesetzt ist, Rechnung zu tragen ist.</w:t>
      </w:r>
    </w:p>
    <w:p>
      <w:r>
        <w:t xml:space="preserve">(5) Dem Betreiber eines multilateralen Handelssystems ist es nicht gestattet, an einem multilateralen Handelssystem Kundenaufträge unter Einsatz seines eigenen Kapitals auszuführen oder auf die Zusammenführung sich deckender Kundenaufträge im Sinne von § 2 Absatz 29 zurückzugreifen.</w:t>
      </w:r>
    </w:p>
    <w:p>
      <w:r>
        <w:rPr>
          <w:color w:val="555555"/>
          <w:sz w:val="17"/>
        </w:rPr>
        <w:t xml:space="preserve">Zitiervorschlag: § 74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