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WpHG — Aussetzung des Handels und Ausschluss von Finanzinstrumenten</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Der Betreiber eines multilateralen oder organisierten Handelssystems kann den Handel mit einem Finanzinstrument aussetzen oder dieses Instrument vom Handel ausschließen, wenn dies zur Sicherung eines ordnungsgemäßen Handels oder zum Schutz des Publikums geboten erscheint, insbesondere, wenn</w:t>
      </w:r>
    </w:p>
    <w:p>
      <w:pPr>
        <w:ind w:left="420"/>
      </w:pPr>
      <w:r>
        <w:t xml:space="preserve">1. das Finanzinstrument den Regeln des Handelssystems nicht mehr entspricht,</w:t>
      </w:r>
    </w:p>
    <w:p>
      <w:pPr>
        <w:ind w:left="420"/>
      </w:pPr>
      <w:r>
        <w:t xml:space="preserve">2. der Verdacht eines Marktmissbrauchs im Sinne des Artikels 1 der Verordnung (EU) Nr. 596/2014 oder einer Nichtveröffentlichung von Insiderinformationen entgegen Artikel 17 der Verordnung (EU) Nr. 596/2014 in Bezug auf das Finanzinstrument besteht oder</w:t>
      </w:r>
    </w:p>
    <w:p>
      <w:pPr>
        <w:ind w:left="420"/>
      </w:pPr>
      <w:r>
        <w:t xml:space="preserve">3. ein Übernahmeangebot in Bezug auf den Emittenten des Finanzinstruments veröffentlicht wurde.</w:t>
      </w:r>
    </w:p>
    <w:p>
      <w:r>
        <w:t xml:space="preserve">Im Falle einer Maßnahme nach Satz 1 setzt der Betreiber auch den Handel mit Derivaten, die mit diesem Finanzinstrument verbunden sind oder sich auf dieses beziehen, aus oder stellt den Handel mit diesen Finanzinstrumenten ein, wenn dies zur Verwirklichung der Ziele der Maßnahme nach Satz 1 erforderlich ist. Eine Maßnahme nach Satz 1 oder Satz 2 unterbleibt, wenn sie die Interessen der betroffenen Anleger oder das ordnungsgemäße Funktionieren des Marktes erheblich beeinträchtigen könnte. Der Betreiber veröffentlicht Entscheidungen nach den Sätzen 1 und 2 und teilt sie unverzüglich der Bundesanstalt mit.</w:t>
      </w:r>
    </w:p>
    <w:p>
      <w:r>
        <w:t xml:space="preserve">(2) Wird ein Finanzinstrument, das in den in Absatz 1 Satz 1 Nummer 2 oder Nummer 3 genannten Fällen Gegenstand einer Maßnahme nach Absatz 1 Satz 1 oder Satz 2 ist, oder ein Derivat, das mit einem solchen Finanzinstrument verbunden ist oder sich auf dieses bezieht, auch an einem anderen inländischen multilateralen oder organisierten Handelssystem oder durch einen systematischen Internalisierer gehandelt, so ordnet die Bundesanstalt ebenfalls Maßnahmen nach Absatz 1 Satz 1 oder Satz 2 an. Absatz 1 Satz 3 gilt entsprechend.</w:t>
      </w:r>
    </w:p>
    <w:p>
      <w:r>
        <w:t xml:space="preserve">(3) Die Bundesanstalt veröffentlicht Maßnahmen nach den Absätzen 1 und 2 unverzüglich und übermittelt diese der Europäischen Wertpapier- und Marktaufsichtsbehörde sowie den zuständigen Behörden der anderen Mitgliedstaaten der Europäischen Union und der Vertragsstaaten des Abkommens über den Europäischen Wirtschaftsraum. Erhält die Bundesanstalt ihrerseits eine solche Mitteilung von einer zuständigen Behörde eines anderen Mitgliedstaats der Europäischen Union oder eines Vertragsstaats des Abkommens über den Europäischen Wirtschaftsraum, teilt sie dies den Geschäftsführungen der Börsen, an denen die betreffenden Finanzinstrumente gehandelt werden, und der jeweiligen Börsenaufsichtsbehörde mit. Sie ordnet gegenüber den Betreibern inländischer multilateraler und organisierter Handelssysteme sowie gegenüber systematischen Internalisierern, die die betreffenden Finanzinstrumente handeln, ebenfalls Maßnahmen nach Absatz 1 Satz 1 oder Satz 2 an. Absatz 1 Satz 3 gilt entsprechend. Die Bundesanstalt informiert die Europäische Wertpapier- und Marktaufsichtsbehörde und die zuständigen Behörden der anderen Mitgliedstaaten der Europäischen Union und der Vertragsstaaten des Abkommens über den Europäischen Wirtschaftsraum über Maßnahmen, die sie nach Satz 3 angeordnet hat, einschließlich einer Erläuterung, falls keine Handelsaussetzung oder Handelseinstellung erfolgt ist. Die Sätze 1 bis 5 gelten entsprechend für die Aufhebung einer Handelsaussetzung.</w:t>
      </w:r>
    </w:p>
    <w:p>
      <w:r>
        <w:rPr>
          <w:color w:val="555555"/>
          <w:sz w:val="17"/>
        </w:rPr>
        <w:t xml:space="preserve">Zitiervorschlag: § 73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