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WpHG — Betrieb eines multilateralen Handelssystems oder eines organisierten Handelssystems</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Der Betreiber eines multilateralen oder organisierten Handelssystems ist dazu verpflichtet,</w:t>
      </w:r>
    </w:p>
    <w:p>
      <w:pPr>
        <w:ind w:left="420"/>
      </w:pPr>
      <w:r>
        <w:t xml:space="preserve">1. nichtdiskriminierende Regelungen für den Zugang zu dem multilateralen oder organisierten Handelssystem festzulegen, die kein Ermessen des Betreibers vorsehen;</w:t>
      </w:r>
    </w:p>
    <w:p>
      <w:pPr>
        <w:ind w:left="420"/>
      </w:pPr>
      <w:r>
        <w:t xml:space="preserve">2. Regelungen für die Einbeziehung von Finanzinstrumenten in den Handel, für die ordnungsgemäße Durchführung des Handels und der Preisermittlung, für die Verwendung von einbezogenen Referenzpreisen und für die vertragsgemäße Abwicklung der abgeschlossenen Geschäfte festzulegen;</w:t>
      </w:r>
    </w:p>
    <w:p>
      <w:pPr>
        <w:ind w:left="420"/>
      </w:pPr>
      <w:r>
        <w:t xml:space="preserve">3. über angemessene Verfahren zur Überwachung der Einhaltung der Regelungen nach Nummer 2 und der Verordnung (EU) Nr. 596/2014 zu verfügen;</w:t>
      </w:r>
    </w:p>
    <w:p>
      <w:pPr>
        <w:ind w:left="420"/>
      </w:pPr>
      <w:r>
        <w:t xml:space="preserve">4. alle Informationen zu veröffentlichen, die unter Berücksichtigung der Art der Nutzer und der gehandelten Finanzinstrumente für die Nutzung des multilateralen oder organisierten Handelssystems erforderlich und zweckdienlich sind;</w:t>
      </w:r>
    </w:p>
    <w:p>
      <w:pPr>
        <w:ind w:left="420"/>
      </w:pPr>
      <w:r>
        <w:t xml:space="preserve">5. separate Entgelte zu verlangen für die übermäßige Nutzung des multilateralen oder organisierten Handelssystems, insbesondere durch unverhältnismäßig viele Auftragseingaben, -änderungen und -löschungen; die Höhe dieser Entgelte ist so zu bemessen, dass einer übermäßigen Nutzung und den damit verbundenen negativen Auswirkungen auf die Systemstabilität oder die Marktintegrität wirksam begegnet wird;</w:t>
      </w:r>
    </w:p>
    <w:p>
      <w:pPr>
        <w:ind w:left="420"/>
      </w:pPr>
      <w:r>
        <w:t xml:space="preserve">6. geeignete Vorkehrungen zu treffen, um auch bei erheblichen Preisschwankungen eine ordnungsgemäße Preisermittlung sicherzustellen; geeignete Vorkehrungen sind insbesondere kurzfristige Änderungen des Marktmodells, kurzzeitige Volatilitätsunterbrechungen unter Berücksichtigung statischer oder dynamischer Preiskorridore und Limitsysteme der mit der Preisfeststellung betrauten Handelsteilnehmer, wobei es dem Betreiber in Ausnahmefällen möglich sein muss, jedes Geschäft aufzuheben, zu ändern oder zu berichtigen; die Parameter für solche Volatilitätsunterbrechungen müssen der Liquidität der einzelnen Kategorien und Teilkategorien der betreffenden Finanzinstrumente, der Art des Marktmodells und der Art der Nutzer Rechnung tragen und ermöglichen, dass wesentliche Störungen eines ordnungsgemäßen Handels unterbunden werden; der Betreiber hat der Bundesanstalt diese Parameter mitzuteilen;</w:t>
      </w:r>
    </w:p>
    <w:p>
      <w:pPr>
        <w:ind w:left="420"/>
      </w:pPr>
      <w:r>
        <w:t xml:space="preserve">7. sicherzustellen, dass ein angemessenes Verhältnis zwischen Auftragseingaben, -änderungen und -löschungen und den tatsächlich ausgeführten Geschäften (Order-Transaktions-Verhältnis) besteht, um Risiken für den ordnungsgemäßen Handel im multilateralen oder organisierten Handelssystem zu vermeiden; das Order-Transaktions-Verhältnis ist dabei jeweils für ein Finanzinstrument und anhand des zahlenmäßigen Volumens der Aufträge und Geschäfte innerhalb eines Tages zu bestimmen; ein Order-Transaktions-Verhältnis ist insbesondere angemessen, wenn es auf Grund der Liquidität des betroffenen Finanzinstruments, der konkreten Marktlage oder der Funktion des Handelsteilnehmers wirtschaftlich nachvollziehbar ist;</w:t>
      </w:r>
    </w:p>
    <w:p>
      <w:pPr>
        <w:ind w:left="420"/>
      </w:pPr>
      <w:r>
        <w:t xml:space="preserve">8. eine angemessene Größe der kleinstmöglichen Preisänderung bei den gehandelten Aktien, Aktienzertifikaten, Exchange Traded Funds, Zertifikaten und anderen vergleichbaren Finanzinstrumenten sowie allen anderen Finanzinstrumenten, die von dem auf der Grundlage von Artikel 49 Absatz 4 der Richtlinie 2014/65/EU erlassenen delegierten Rechtsakt der Europäischen Kommission erfasst werden, festzulegen, um negative Auswirkungen auf die Marktintegrität und -liquidität zu verringern; dabei ist insbesondere zu berücksichtigen, dass diese den Preisfindungsmechanismus und das Ziel eines angemessenen Order-Transaktions-Verhältnisses nicht beeinträchtigt; wegen der einzelnen Anforderungen an die Festlegung der Mindestpreisänderungsgröße wird auf die Delegierte Verordnung (EU) 2017/588 der Kommission vom 14. Juli 2016 zur Ergänzung der Richtlinie 2014/65/EU des Europäischen Parlaments und des Rates durch technische Regulierungsstandards für das Tick-Größen-System für Aktien, Aktienzertifikate und börsengehandelte Fonds (ABl. L 87 vom 31.3.2017, S. 411), in der jeweils geltenden Fassung, verwiesen;</w:t>
      </w:r>
    </w:p>
    <w:p>
      <w:pPr>
        <w:ind w:left="420"/>
      </w:pPr>
      <w:r>
        <w:t xml:space="preserve">9. angemessene Risikokontrollen und Schwellen für den Handel über den direkten elektronischen Zugang festzulegen, insbesondere Regelungen festzulegen über</w:t>
      </w:r>
    </w:p>
    <w:p>
      <w:pPr>
        <w:ind w:left="780"/>
      </w:pPr>
      <w:r>
        <w:t xml:space="preserve">a) die Kennzeichnung von Aufträgen, die über einen direkten elektronischen Zugang erteilt werden, und</w:t>
      </w:r>
    </w:p>
    <w:p>
      <w:pPr>
        <w:ind w:left="780"/>
      </w:pPr>
      <w:r>
        <w:t xml:space="preserve">b) die Möglichkeit einer jederzeitigen Sperrung oder Beendigung eines direkten elektronischen Zugangs bei Verstößen des Inhabers des direkten Zugangs gegen geltende Rechtsvorschriften;</w:t>
      </w:r>
    </w:p>
    <w:p>
      <w:pPr>
        <w:ind w:left="420"/>
      </w:pPr>
      <w:r>
        <w:t xml:space="preserve">10. Regelungen festzulegen für die Kennzeichnung aller Aufträge, die durch den algorithmischen Handel im Sinne des § 80 Absatz 2 Satz 1 erzeugt werden, durch die Handelsteilnehmer und für die Offenlegung der hierfür jeweils verwendeten Handelsalgorithmen sowie der Personen, die diese Aufträge initiiert haben;</w:t>
      </w:r>
    </w:p>
    <w:p>
      <w:pPr>
        <w:ind w:left="420"/>
      </w:pPr>
      <w:r>
        <w:t xml:space="preserve">11. eine zuverlässige Verwaltung der technischen Abläufe des Handelssystems sicherzustellen, insbesondere</w:t>
      </w:r>
    </w:p>
    <w:p>
      <w:pPr>
        <w:ind w:left="780"/>
      </w:pPr>
      <w:r>
        <w:t xml:space="preserve">a) wirksame Notfallmaßnahmen bei einem Systemausfall oder bei Störungen in seinen Handelssystemen vorzusehen, um die Kontinuität des Geschäftsbetriebs gewährleisten zu können,</w:t>
      </w:r>
    </w:p>
    <w:p>
      <w:pPr>
        <w:ind w:left="780"/>
      </w:pPr>
      <w:r>
        <w:t xml:space="preserve">b) sicherzustellen, dass die Handelssysteme belastbar sind und über ausreichende Kapazitäten für Spitzenvolumina an Aufträgen und Mitteilungen verfügen und</w:t>
      </w:r>
    </w:p>
    <w:p>
      <w:pPr>
        <w:ind w:left="780"/>
      </w:pPr>
      <w:r>
        <w:t xml:space="preserve">c) sicherzustellen, dass die Systeme in der Lage sind, auch unter extremen Stressbedingungen auf den Märkten einen ordnungsgemäßen Handel zu gewährleisten, und dass sie für diese Zwecke vollständig geprüft sind;</w:t>
      </w:r>
    </w:p>
    <w:p>
      <w:pPr>
        <w:ind w:left="420"/>
      </w:pPr>
      <w:r>
        <w:t xml:space="preserve">12. Vorkehrungen zu treffen, mit denen sich mögliche nachteilige Auswirkungen von Interessenkonflikten zwischen dem multilateralen oder organisierten Handelssystem und seinem Eigentümer oder Betreiber einerseits und dem einwandfreien Funktionieren des multilateralen oder organisierten Handelssystems andererseits auf dessen Betrieb oder auf seine Handelsteilnehmer klar erkennen und regeln lassen;</w:t>
      </w:r>
    </w:p>
    <w:p>
      <w:pPr>
        <w:ind w:left="420"/>
      </w:pPr>
      <w:r>
        <w:t xml:space="preserve">13. sicherzustellen, dass das multilaterale oder organisierte Handelssystem über mindestens drei aktive Mitglieder oder Nutzer verfügt, denen es jeweils möglich ist, mit allen übrigen Mitgliedern und Nutzern zum Zwecke der Preisbildung zu interagieren;</w:t>
      </w:r>
    </w:p>
    <w:p>
      <w:pPr>
        <w:ind w:left="420"/>
      </w:pPr>
      <w:r>
        <w:t xml:space="preserve">14. sicherzustellen, dass die in Artikel 22b der Verordnung (EU) Nr. 600/2014 festgelegten Standards für die Datenqualität, einschließlich der in den nach Artikel 22b Absatz 3 der Verordnung (EU) Nr. 600/2014 erlassenen technischen Regulierungsstandards, erfüllt werden.</w:t>
      </w:r>
    </w:p>
    <w:p>
      <w:r>
        <w:t xml:space="preserve">§ 5 Absatz 4a, die §§ 26c und 26d des Börsengesetzes gelten entsprechend.</w:t>
      </w:r>
    </w:p>
    <w:p>
      <w:r>
        <w:t xml:space="preserve">(2) Die Gebührenstrukturen, einschließlich der Ausführungsgebühren, Nebengebühren und möglichen Rabatte, müssen transparent und diskriminierungsfrei ausgestaltet sein. Die Gebühren dürfen keine Anreize schaffen, Aufträge so zu platzieren, zu ändern oder zu stornieren oder Geschäfte so zu tätigen, dass dies zu marktstörenden Handelsbedingungen oder Marktmissbrauch beiträgt. Insbesondere dürfen Rabatte in Bezug auf einzelne Aktien oder Aktienportfolios nur als Gegenleistung für die Übernahme von Market-Making-Pflichten gewährt werden.</w:t>
      </w:r>
    </w:p>
    <w:p>
      <w:r>
        <w:t xml:space="preserve">(3) Der Betreiber eines multilateralen oder organisierten Handelssystems hat der Bundesanstalt eine ausführliche Beschreibung der Funktionsweise des Handelssystems vorzulegen. Diese hat auch etwaige Verbindungen des Handelssystems zu Börsen, anderen multilateralen oder organisierten Handelssystemen oder systematischen Internalisierern, deren Träger oder Betreiber im Eigentum des Betreibers des Handelssystems stehen, sowie eine Liste der Mitglieder, Teilnehmer und Nutzer des Handelssystems zu umfassen. Die Bundesanstalt stellt diese Informationen auf Verlangen der Europäischen Wertpapier- und Marktaufsichtsbehörde zur Verfügung. Sie hat der Europäischen Wertpapier- und Marktaufsichtsbehörde jede Erteilung einer Erlaubnis zum Betrieb eines multilateralen oder organisierten Handelssystems mitzuteilen.</w:t>
      </w:r>
    </w:p>
    <w:p>
      <w:r>
        <w:t xml:space="preserve">(4) Emittenten, deren Finanzinstrumente ohne ihre Zustimmung in den Handel in einem multilateralen oder organisierten Handelssystem einbezogen worden sind, können nicht dazu verpflichtet werden, Informationen in Bezug auf diese Finanzinstrumente für dieses multilaterale oder organisierte Handelssystem zu veröffentlichen.</w:t>
      </w:r>
    </w:p>
    <w:p>
      <w:r>
        <w:t xml:space="preserve">(5) Der Betreiber eines multilateralen oder organisierten Handelssystems kann von einem Emittenten die Übermittlung von Referenzdaten in Bezug auf dessen Finanzinstrumente verlangen, soweit dies zur Erfüllung der Anforderungen aus Artikel 4 der Verordnung (EU) Nr. 596/2014 erforderlich ist.</w:t>
      </w:r>
    </w:p>
    <w:p>
      <w:r>
        <w:t xml:space="preserve">(6) Der Betreiber eines multilateralen oder organisierten Handelssystems hat der Bundesanstalt schwerwiegende Verstöße gegen die Handelsregeln, Störungen der Marktintegrität und Anhaltspunkte für einen Verstoß gegen die Vorschriften der Verordnung (EU) Nr. 596/2014 unverzüglich mitzuteilen und diese bei ihren Untersuchungen umfassend zu unterstützen.</w:t>
      </w:r>
    </w:p>
    <w:p>
      <w:r>
        <w:t xml:space="preserve">(7) Darüber hinaus hat der Betreiber eines multilateralen oder organisierten Handelssystems der Bundesanstalt unverzüglich mitzuteilen, wenn bei einem an seinem Handelssystem gehandelten Finanzinstrument ein signifikanter Kursverfall im Sinne des Artikels 23 der Verordnung (EU) Nr. 236/2012 eintritt.</w:t>
      </w:r>
    </w:p>
    <w:p>
      <w:r>
        <w:t xml:space="preserve">(8) Der Betreiber eines multilateralen oder organisierten Handelssystems hat die Bundesanstalt über den Eingang von Anträgen auf Zugang nach den Artikeln 7 und 8 der Verordnung (EU) Nr. 648/2012 unverzüglich schriftlich zu unterrichten. Die Bundesanstalt kann</w:t>
      </w:r>
    </w:p>
    <w:p>
      <w:pPr>
        <w:ind w:left="420"/>
      </w:pPr>
      <w:r>
        <w:t xml:space="preserve">1. unter den in Artikel 7 Absatz 4 der Verordnung (EU) Nr. 648/2012 genannten Voraussetzungen dem Betreiber eines multilateralen oder organisierten Handelssystems den Zugang zu einer zentralen Gegenpartei im Sinne der genannten Verordnung untersagen sowie</w:t>
      </w:r>
    </w:p>
    <w:p>
      <w:pPr>
        <w:ind w:left="420"/>
      </w:pPr>
      <w:r>
        <w:t xml:space="preserve">2. unter den in Artikel 8 Absatz 4 der Verordnung (EU) Nr. 648/2012 genannten Voraussetzungen dem Betreiber eines multilateralen oder organisierten Handelssystems untersagen, einer zentralen Gegenpartei im Sinne der genannten Verordnung Zugang zu gewähren.</w:t>
      </w:r>
    </w:p>
    <w:p>
      <w:r>
        <w:rPr>
          <w:color w:val="555555"/>
          <w:sz w:val="17"/>
        </w:rPr>
        <w:t xml:space="preserve">Zitiervorschlag: § 72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