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WpHG — Bearbeitung von Kundenaufträgen; Verordnungsermächtigung</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Ein Wertpapierdienstleistungsunternehmen muss geeignete Vorkehrungen treffen, um</w:t>
      </w:r>
    </w:p>
    <w:p>
      <w:pPr>
        <w:ind w:left="420"/>
      </w:pPr>
      <w:r>
        <w:t xml:space="preserve">1. Kundenaufträge unverzüglich und redlich im Verhältnis zu anderen Kundenaufträgen und den Handelsinteressen des Wertpapierdienstleistungsunternehmens auszuführen oder an Dritte weiterzuleiten und</w:t>
      </w:r>
    </w:p>
    <w:p>
      <w:pPr>
        <w:ind w:left="420"/>
      </w:pPr>
      <w:r>
        <w:t xml:space="preserve">2. vergleichbare Kundenaufträge der Reihenfolge ihres Eingangs nach auszuführen oder an Dritte zum Zwecke der Ausführung weiterzuleiten.</w:t>
      </w:r>
    </w:p>
    <w:p>
      <w:r>
        <w:t xml:space="preserve">(2) Können limitierte Kundenaufträge in Bezug auf Aktien, die zum Handel an einem organisierten Markt zugelassen sind oder die an einem Handelsplatz gehandelt werden, aufgrund der Marktbedingungen nicht unverzüglich ausgeführt werden, muss das Wertpapierdienstleistungsunternehmen diese Aufträge unverzüglich so bekannt machen, dass sie anderen Marktteilnehmern leicht zugänglich sind, soweit der Kunde keine andere Weisung erteilt. Die Verpflichtung nach Satz 1 gilt als erfüllt, wenn die Aufträge an einen Handelsplatz weitergeleitet worden sind oder werden, der den Vorgaben des Artikels 70 Absatz 1 der Delegierten Verordnung (EU) 2017/565 entspricht. Die Bundesanstalt kann die Pflicht nach Satz 1 in Bezug auf solche Aufträge, die den marktüblichen Geschäftsumfang erheblich überschreiten, aufheben.</w:t>
      </w:r>
    </w:p>
    <w:p>
      <w:r>
        <w:t xml:space="preserve">(3) Nähere Bestimmungen zu den Verpflichtungen nach den Absätzen 1 und 2 ergeben sich aus den Artikeln 67 bis 70 der Delegierten Verordnung (EU) 2017/565.</w:t>
      </w:r>
    </w:p>
    <w:p>
      <w:r>
        <w:t xml:space="preserve">(4) Das Bundesministerium der Finanzen kann durch Rechtsverordnung, die nicht der Zustimmung des Bundesrates bedarf, nähere Bestimmungen zu den Voraussetzungen erlassen, unter denen die Bundesanstalt nach Absatz 2 Satz 3 die Pflicht nach Absatz 2 Satz 1 aufheben kann. Das Bundesministerium der Finanzen kann die Ermächtigung durch Rechtsverordnung auf die Bundesanstalt übertragen.</w:t>
      </w:r>
    </w:p>
    <w:p>
      <w:r>
        <w:rPr>
          <w:color w:val="555555"/>
          <w:sz w:val="17"/>
        </w:rPr>
        <w:t xml:space="preserve">Zitiervorschlag: § 69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