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65b WpHG — Veräußerung nachrangiger berücksichtigungsfähiger Verbindlichkeiten und relevanter Kapitalinstrumente an Privatkunden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28.12.2020 (konsolidierte Textfassung, kein amtliches Inkrafttretensdatum)</w:t>
      </w:r>
    </w:p>
    <w:p>
      <w:r>
        <w:t xml:space="preserve">Unbeschadet der Vorschriften dieses Abschnitts dürfen nachrangige berücksichtigungsfähige Verbindlichkeiten nach § 2 Absatz 3 Nummer 40a des Sanierungs- und Abwicklungsgesetzes sowie relevante Kapitalinstrumente nach § 2 Absatz 2 des Sanierungs- und Abwicklungsgesetzes an Privatkunden nach § 67 Absatz 3 nur mit einer Mindeststückelung von 50 000 Euro veräußert werden. Für relevante Kapitalinstrumente nach § 2 Absatz 2 des Sanierungs- und Abwicklungsgesetzes von kleinen und nicht komplexen Instituten im Sinne des Artikels 4 Absatz 1 Nummer 145 der Verordnung (EU) Nr. 575/2013 gilt Satz 1 mit der Maßgabe, dass diese an Privatkunden nach § 67 Absatz 3 nur mit einer Mindeststückelung von 25 000 Euro veräußert werden dürfen. Die Sätze 1 und 2 gelten nicht für Verbindlichkeiten und relevante Kapitalinstrumente im Sinne dieser Vorschrift, die vor dem 28. Dezember 2020 begeben wurden.</w:t>
      </w:r>
    </w:p>
    <w:p>
      <w:r>
        <w:rPr>
          <w:color w:val="555555"/>
          <w:sz w:val="17"/>
        </w:rPr>
        <w:t xml:space="preserve">Zitiervorschlag: § 65b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https://recht.nulegal.eu/gesetze/WpHG/65b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