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WpHG — Besondere Verhaltensregeln bei der Erbringung von Anlageberatung und Finanzportfolioverwaltung; Verordnungsermächtigung</w:t>
      </w:r>
    </w:p>
    <w:p>
      <w:r>
        <w:rPr>
          <w:color w:val="555555"/>
          <w:sz w:val="18"/>
        </w:rPr>
        <w:t xml:space="preserve">Wertpapierhandelsgesetz</w:t>
      </w:r>
    </w:p>
    <w:p>
      <w:r>
        <w:rPr>
          <w:color w:val="555555"/>
          <w:sz w:val="18"/>
        </w:rPr>
        <w:t xml:space="preserve">Stand: 21.12.2024 (konsolidierte Textfassung, kein amtliches Inkrafttretensdatum)</w:t>
      </w:r>
    </w:p>
    <w:p>
      <w:r>
        <w:t xml:space="preserve">(1) Erbringt ein Wertpapierdienstleistungsunternehmen Anlageberatung, muss es den Kunden zusätzlich zu den Informationen nach § 63 Absatz 7 rechtzeitig vor der Beratung und in verständlicher Form darüber informieren</w:t>
      </w:r>
    </w:p>
    <w:p>
      <w:pPr>
        <w:ind w:left="420"/>
      </w:pPr>
      <w:r>
        <w:t xml:space="preserve">1. ob die Anlageberatung unabhängig erbracht wird (Unabhängige Honorar-Anlageberatung) oder nicht;</w:t>
      </w:r>
    </w:p>
    <w:p>
      <w:pPr>
        <w:ind w:left="420"/>
      </w:pPr>
      <w:r>
        <w:t xml:space="preserve">2. ob sich die Anlageberatung auf eine umfangreiche oder eine eher beschränkte Analyse verschiedener Arten von Finanzinstrumenten stützt, insbesondere, ob die Palette an Finanzinstrumenten auf Finanzinstrumente beschränkt ist, die von Anbietern oder Emittenten stammen, die in einer engen Verbindung zum Wertpapierdienstleistungsunternehmen stehen oder zu denen in sonstiger Weise rechtliche oder wirtschaftliche Verbindungen bestehen, die so eng sind, dass das Risiko besteht, dass die Unabhängigkeit der Anlageberatung beeinträchtigt wird, und</w:t>
      </w:r>
    </w:p>
    <w:p>
      <w:pPr>
        <w:ind w:left="420"/>
      </w:pPr>
      <w:r>
        <w:t xml:space="preserve">3. ob das Wertpapierdienstleistungsunternehmen dem Kunden regelmäßig eine Beurteilung der Geeignetheit der empfohlenen Finanzinstrumente zur Verfügung stellt.</w:t>
      </w:r>
    </w:p>
    <w:p>
      <w:r>
        <w:t xml:space="preserve">Satz 1 gilt entsprechend für Informationen nach Artikel 6 Absatz 2 der Verordnung (EU) 2019/2088. § 63 Absatz 7 Satz 2 und bei Vorliegen der dort genannten Voraussetzungen die Ausnahme nach § 63 Absatz 8 gelten entsprechend.</w:t>
      </w:r>
    </w:p>
    <w:p>
      <w:r>
        <w:t xml:space="preserve">(2) Im Falle einer Anlageberatung hat das Wertpapierdienstleistungsunternehmen einem Privatkunden rechtzeitig vor dem Abschluss eines Geschäfts über Finanzinstrumente, für die kein Basisinformationsblatt nach der Verordnung (EU) Nr. 1286/2014 erstellt werden muss,</w:t>
      </w:r>
    </w:p>
    <w:p>
      <w:pPr>
        <w:ind w:left="420"/>
      </w:pPr>
      <w:r>
        <w:t xml:space="preserve">1. über jedes Finanzinstrument, auf das sich eine Kaufempfehlung bezieht, ein kurzes und leicht verständliches Informationsblatt,</w:t>
      </w:r>
    </w:p>
    <w:p>
      <w:pPr>
        <w:ind w:left="420"/>
      </w:pPr>
      <w:r>
        <w:t xml:space="preserve">2. in den Fällen des Satzes 3 ein in Nummer 1 genanntes Informationsblatt oder wahlweise ein standardisiertes Informationsblatt oder</w:t>
      </w:r>
    </w:p>
    <w:p>
      <w:pPr>
        <w:ind w:left="420"/>
      </w:pPr>
      <w:r>
        <w:t xml:space="preserve">3. in den Fällen des Satzes 4 ein dort genanntes Dokument anstelle des in Nummer 1 genannten Informationsblatts</w:t>
      </w:r>
    </w:p>
    <w:p>
      <w:r>
        <w:t xml:space="preserve">zur Verfügung zu stellen. Die Angaben in den Informationsblättern nach Satz 1 dürfen weder unrichtig noch irreführend sein und müssen mit den Angaben des Prospekts vereinbar sein. Für Aktien, die zum Zeitpunkt der Anlageberatung an einem organisierten Markt gehandelt werden, kann anstelle des Informationsblattes nach Satz 1 Nummer 1 ein standardisiertes Informationsblatt verwendet werden. An die Stelle des Informationsblattes treten</w:t>
      </w:r>
    </w:p>
    <w:p>
      <w:pPr>
        <w:ind w:left="420"/>
      </w:pPr>
      <w:r>
        <w:t xml:space="preserve">1. bei Anteilen oder Aktien an OGAW oder an offenen Publikums-AIF die wesentlichen Anlegerinformationen nach den §§ 164 und 166 des Kapitalanlagegesetzbuchs,</w:t>
      </w:r>
    </w:p>
    <w:p>
      <w:pPr>
        <w:ind w:left="420"/>
      </w:pPr>
      <w:r>
        <w:t xml:space="preserve">2. bei Anteilen oder Aktien an geschlossenen Publikums-AIF die wesentlichen Anlegerinformationen nach den §§ 268 und 270 des Kapitalanlagegesetzbuchs,</w:t>
      </w:r>
    </w:p>
    <w:p>
      <w:pPr>
        <w:ind w:left="420"/>
      </w:pPr>
      <w:r>
        <w:t xml:space="preserve">3. bei Anteilen oder Aktien an Spezial-AIF die wesentlichen Anlegerinformationen nach § 166 oder § 270 des Kapitalanlagegesetzbuchs, sofern die AIF-Kapitalverwaltungsgesellschaft solche gemäß § 307 Absatz 5 des Kapitalanlagegesetzbuchs erstellt hat,</w:t>
      </w:r>
    </w:p>
    <w:p>
      <w:pPr>
        <w:ind w:left="420"/>
      </w:pPr>
      <w:r>
        <w:t xml:space="preserve">4. bei EU-AIF und ausländischen AIF die wesentlichen Anlegerinformationen nach § 318 Absatz 5 des Kapitalanlagegesetzbuchs,</w:t>
      </w:r>
    </w:p>
    <w:p>
      <w:pPr>
        <w:ind w:left="420"/>
      </w:pPr>
      <w:r>
        <w:t xml:space="preserve">5. bei EU-OGAW die wesentlichen Anlegerinformationen, die nach § 298 Absatz 1 Satz 2 des Kapitalanlagegesetzbuchs in deutscher Sprache veröffentlicht worden sind,</w:t>
      </w:r>
    </w:p>
    <w:p>
      <w:pPr>
        <w:ind w:left="420"/>
      </w:pPr>
      <w:r>
        <w:t xml:space="preserve">6. bei inländischen Investmentvermögen im Sinne des Investmentgesetzes in der bis zum 21. Juli 2013 geltenden Fassung, die für den in § 345 Absatz 6 Satz 1 des Kapitalanlagegesetzbuchs genannten Zeitraum noch weiter vertrieben werden dürfen, die wesentlichen Anlegerinformationen, die nach § 42 Absatz 2 des Investmentgesetzes in der bis zum 21. Juli 2013 geltenden Fassung erstellt worden sind,</w:t>
      </w:r>
    </w:p>
    <w:p>
      <w:pPr>
        <w:ind w:left="420"/>
      </w:pPr>
      <w:r>
        <w:t xml:space="preserve">7. bei ausländischen Investmentvermögen im Sinne des Investmentgesetzes in der bis zum 21. Juli 2013 geltenden Fassung, die für den in § 345 Absatz 8 Satz 2 oder § 355 Absatz 2 Satz 10 des Kapitalanlagegesetzbuchs genannten Zeitraum noch weiter vertrieben werden dürfen, die wesentlichen Anlegerinformationen, die nach § 137 Absatz 2 des Investmentgesetzes in der bis zum 21. Juli 2013 geltenden Fassung erstellt worden sind,</w:t>
      </w:r>
    </w:p>
    <w:p>
      <w:pPr>
        <w:ind w:left="420"/>
      </w:pPr>
      <w:r>
        <w:t xml:space="preserve">8. bei Vermögensanlagen im Sinne des § 1 Absatz 2 des Vermögensanlagengesetzes das Vermögensanlagen-Informationsblatt nach § 13 des Vermögensanlagengesetzes, soweit der Anbieter der Vermögensanlagen zur Erstellung eines solchen Vermögensanlagen-Informationsblatts verpflichtet ist,</w:t>
      </w:r>
    </w:p>
    <w:p>
      <w:pPr>
        <w:ind w:left="420"/>
      </w:pPr>
      <w:r>
        <w:t xml:space="preserve">9. bei zertifizierten Altersvorsorge- und Basisrentenverträgen im Sinne des Altersvorsorgeverträge-Zertifizierungsgesetzes das individuelle Produktinformationsblatt nach § 7 Absatz 1 des Altersvorsorgeverträge-Zertifizierungsgesetzes sowie zusätzlich die wesentlichen Anlegerinformationen nach Nummer 1, 3 oder Nummer 4, sofern es sich um Anteile an den in Nummer 1, 3 oder Nummer 4 genannten Organismen für gemeinsame Anlagen handelt, und</w:t>
      </w:r>
    </w:p>
    <w:p>
      <w:pPr>
        <w:ind w:left="420"/>
      </w:pPr>
      <w:r>
        <w:t xml:space="preserve">10. bei Wertpapieren im Sinne des § 2 Nummer 1 des Wertpapierprospektgesetzes das Wertpapier-Informationsblatt nach § 4 des Wertpapierprospektgesetzes, soweit der Anbieter der Wertpapiere zur Erstellung eines solchen Wertpapier-Informationsblatts verpflichtet ist.</w:t>
      </w:r>
    </w:p>
    <w:p>
      <w:r>
        <w:t xml:space="preserve">(3) Das Wertpapierdienstleistungsunternehmen muss von einem Kunden alle Informationen</w:t>
      </w:r>
    </w:p>
    <w:p>
      <w:pPr>
        <w:ind w:left="420"/>
      </w:pPr>
      <w:r>
        <w:t xml:space="preserve">1. über Kenntnisse und Erfahrungen des Kunden in Bezug auf Geschäfte mit bestimmten Arten von Finanzinstrumenten oder Wertpapierdienstleistungen,</w:t>
      </w:r>
    </w:p>
    <w:p>
      <w:pPr>
        <w:ind w:left="420"/>
      </w:pPr>
      <w:r>
        <w:t xml:space="preserve">2. über die finanziellen Verhältnisse des Kunden, einschließlich seiner Fähigkeit, Verluste zu tragen, und</w:t>
      </w:r>
    </w:p>
    <w:p>
      <w:pPr>
        <w:ind w:left="420"/>
      </w:pPr>
      <w:r>
        <w:t xml:space="preserve">3. über seine Anlageziele, einschließlich seiner Risikotoleranz,</w:t>
      </w:r>
    </w:p>
    <w:p>
      <w:r>
        <w:t xml:space="preserve">einholen, die erforderlich sind, um dem Kunden ein Finanzinstrument oder eine Wertpapierdienstleistung empfehlen zu können, das oder die für ihn geeignet ist und insbesondere seiner Risikotoleranz und seiner Fähigkeit, Verluste zu tragen, entspricht. Ein Wertpapierdienstleistungsunternehmen darf seinen Kunden nur Finanzinstrumente und Wertpapierdienstleistungen empfehlen oder Geschäfte im Rahmen der Finanzportfolioverwaltung tätigen, die nach den eingeholten Informationen für den Kunden geeignet sind. Näheres zur Geeignetheit und den im Zusammenhang mit der Beurteilung der Geeignetheit geltenden Pflichten regeln die Artikel 54 und 55 der Delegierten Verordnung (EU) 2017/565. Näheres zur Geeignetheit von Verbriefungen und den im Zusammenhang mit der Beurteilung der Geeignetheit geltenden Pflichten regelt Artikel 3 der Verordnung (EU) 2017/2402. Erbringt ein Wertpapierdienstleistungsunternehmen eine Anlageberatung, bei der verbundene Produkte oder Dienstleistungen im Sinne des § 63 Absatz 9 empfohlen werden, gilt Satz 2 für das gesamte verbundene Geschäft entsprechend. Erbringen Wertpapierdienstleistungsunternehmen entweder Anlageberatung oder Finanzportfolioverwaltung, die eine Umschichtung von Finanzinstrumenten umfassen, so haben sie die notwendigen Informationen über die Investition des Kunden einzuholen und die Kosten und den Nutzen der Umschichtung von Finanzinstrumenten zu analysieren. Satz 6 gilt nicht für Dienstleistungen, die gegenüber professionellen Kunden erbracht werden, es sei denn, diese Kunden setzen das Wertpapierdienstleistungsunternehmen entweder in elektronischer Form oder in schriftlicher Form darüber in Kenntnis, dass sie von den durch Satz 6 gewährten Rechten Gebrauch machen möchten.</w:t>
      </w:r>
    </w:p>
    <w:p>
      <w:r>
        <w:t xml:space="preserve">(4) Ein Wertpapierdienstleistungsunternehmen, das Anlageberatung erbringt, muss dem Privatkunden auf einem dauerhaften Datenträger vor Vertragsschluss eine Erklärung über die Geeignetheit der Empfehlung (Geeignetheitserklärung) zur Verfügung stellen. Die Geeignetheitserklärung muss die erbrachte Beratung nennen sowie erläutern, wie sie auf die Präferenzen, Anlageziele und die sonstigen Merkmale des Kunden abgestimmt wurde. Näheres regelt Artikel 54 Absatz 12 der Delegierten Verordnung (EU) 2017/565. Wird die Vereinbarung über den Kauf oder Verkauf eines Finanzinstruments mittels eines Fernkommunikationsmittels geschlossen, das die vorherige Übermittlung der Geeignetheitserklärung nicht erlaubt, darf das Wertpapierdienstleistungsunternehmen die Geeignetheitserklärung ausnahmsweise unmittelbar nach dem Vertragsschluss zur Verfügung stellen, wenn der Kunde zugestimmt hat, dass ihm die Geeignetheitserklärung unverzüglich nach Vertragsschluss zur Verfügung gestellt wird und das Wertpapierdienstleistungsunternehmen dem Kunden angeboten hat, die Ausführung des Geschäfts zu verschieben, damit der Kunde die Möglichkeit hat, die Geeignetheitserklärung zuvor zu erhalten. Bei der Erbringung von Anlageberatung haben Wertpapierdienstleistungsunternehmen den Kunden darüber zu informieren, ob die Vorteile einer Umschichtung von Finanzinstrumenten die im Rahmen der Umschichtung anfallenden Kosten überwiegen oder nicht. Satz 5 gilt nicht für Dienstleistungen, die gegenüber professionellen Kunden erbracht werden, es sei denn, diese Kunden setzen das Wertpapierdienstleistungsunternehmen entweder in elektronischer Form oder in schriftlicher Form darüber in Kenntnis, dass sie von den durch Satz 5 gewährten Rechten Gebrauch machen möchten.</w:t>
      </w:r>
    </w:p>
    <w:p>
      <w:r>
        <w:t xml:space="preserve">(5) Ein Wertpapierdienstleistungsunternehmen, das Unabhängige Honorar-Anlageberatung erbringt,</w:t>
      </w:r>
    </w:p>
    <w:p>
      <w:pPr>
        <w:ind w:left="420"/>
      </w:pPr>
      <w:r>
        <w:t xml:space="preserve">1. muss bei der Beratung eine ausreichende Palette von auf dem Markt angebotenen Finanzinstrumenten berücksichtigen, die</w:t>
      </w:r>
    </w:p>
    <w:p>
      <w:pPr>
        <w:ind w:left="780"/>
      </w:pPr>
      <w:r>
        <w:t xml:space="preserve">a) hinsichtlich ihrer Art und des Emittenten oder Anbieters hinreichend gestreut sind und</w:t>
      </w:r>
    </w:p>
    <w:p>
      <w:pPr>
        <w:ind w:left="780"/>
      </w:pPr>
      <w:r>
        <w:t xml:space="preserve">b) nicht beschränkt sind auf Finanzinstrumente, die das Wertpapierdienstleistungsunternehmen selbst emittiert oder anbietet oder deren Anbieter oder Emittenten in einer engen Verbindung zum Wertpapierdienstleistungsunternehmen stehen oder in sonstiger Weise so enge rechtliche oder wirtschaftliche Verbindung zu diesem unterhalten, dass die Unabhängigkeit der Beratung dadurch gefährdet werden könnte;</w:t>
      </w:r>
    </w:p>
    <w:p>
      <w:pPr>
        <w:ind w:left="420"/>
      </w:pPr>
      <w:r>
        <w:t xml:space="preserve">2. darf sich die Unabhängige Honorar-Anlageberatung allein durch den Kunden vergüten lassen.</w:t>
      </w:r>
    </w:p>
    <w:p>
      <w:r>
        <w:t xml:space="preserve">Es dürfen nach Satz 1 Nummer 2 im Zusammenhang mit der Unabhängigen Honorar-Anlageberatung keinerlei nichtmonetäre Zuwendungen von einem Dritten, der nicht Kunde dieser Dienstleistung ist oder von dem Kunden dazu beauftragt worden ist, angenommen werden. Monetäre Zuwendungen dürfen nur dann angenommen werden, wenn das empfohlene Finanzinstrument oder ein in gleicher Weise geeignetes Finanzinstrument ohne Zuwendung nicht erhältlich ist. In diesem Fall sind die monetären Zuwendungen so schnell wie nach vernünftigem Ermessen möglich, nach Erhalt und in vollem Umfang an den Kunden auszukehren. Vorschriften über die Entrichtung von Steuern und Abgaben bleiben davon unberührt. Das Wertpapierdienstleistungsunternehmen muss Kunden über die ausgekehrten monetären Zuwendungen unterrichten. Im Übrigen gelten die allgemeinen Anforderungen für die Anlageberatung.</w:t>
      </w:r>
    </w:p>
    <w:p>
      <w:r>
        <w:t xml:space="preserve">(6) Bei der Empfehlung von Geschäftsabschlüssen in Finanzinstrumenten, die auf einer Unabhängigen Honorar-Anlageberatung beruhen, deren Anbieter oder Emittent das Wertpapierdienstleistungsunternehmen selbst ist oder zu deren Anbieter oder Emittenten eine enge Verbindung oder sonstige wirtschaftliche Verflechtung besteht, muss das Wertpapierdienstleistungsunternehmen den Kunden rechtzeitig vor der Empfehlung und in verständlicher Form informieren über</w:t>
      </w:r>
    </w:p>
    <w:p>
      <w:pPr>
        <w:ind w:left="420"/>
      </w:pPr>
      <w:r>
        <w:t xml:space="preserve">1. die Tatsache, dass es selbst Anbieter oder Emittent der Finanzinstrumente ist,</w:t>
      </w:r>
    </w:p>
    <w:p>
      <w:pPr>
        <w:ind w:left="420"/>
      </w:pPr>
      <w:r>
        <w:t xml:space="preserve">2. das Bestehen einer engen Verbindung oder einer sonstigen wirtschaftlichen Verflechtung zum Anbieter oder Emittenten sowie</w:t>
      </w:r>
    </w:p>
    <w:p>
      <w:pPr>
        <w:ind w:left="420"/>
      </w:pPr>
      <w:r>
        <w:t xml:space="preserve">3. das Bestehen eines eigenen Gewinninteresses oder des Interesses eines mit ihm verbundenen oder wirtschaftlich verflochtenen Emittenten oder Anbieters an dem Geschäftsabschluss.</w:t>
      </w:r>
    </w:p>
    <w:p>
      <w:r>
        <w:t xml:space="preserve">Ein Wertpapierdienstleistungsunternehmen darf einen auf seiner Unabhängigen Honorar-Anlageberatung beruhenden Geschäftsabschluss nicht als Geschäft mit dem Kunden zu einem festen oder bestimmbaren Preis für eigene Rechnung (Festpreisgeschäft) ausführen. Ausgenommen sind Festpreisgeschäfte in Finanzinstrumenten, deren Anbieter oder Emittent das Wertpapierdienstleistungsunternehmen selbst ist.</w:t>
      </w:r>
    </w:p>
    <w:p>
      <w:r>
        <w:t xml:space="preserve">(7) Ein Wertpapierdienstleistungsunternehmen, das Finanzportfolioverwaltung erbringt, darf im Zusammenhang mit der Finanzportfolioverwaltung keine Zuwendungen von Dritten oder für Dritte handelnder Personen annehmen und behalten. Abweichend von Satz 1 dürfen nichtmonetäre Vorteile nur angenommen werden, wenn es sich um geringfügige nichtmonetäre Vorteile handelt,</w:t>
      </w:r>
    </w:p>
    <w:p>
      <w:pPr>
        <w:ind w:left="420"/>
      </w:pPr>
      <w:r>
        <w:t xml:space="preserve">1. die geeignet sind, die Qualität der für den Kunden erbrachten Wertpapierdienstleistung und Wertpapiernebendienstleistungen zu verbessern und</w:t>
      </w:r>
    </w:p>
    <w:p>
      <w:pPr>
        <w:ind w:left="420"/>
      </w:pPr>
      <w:r>
        <w:t xml:space="preserve">2. die hinsichtlich ihres Umfangs, wobei die Gesamthöhe der von einem einzelnen Unternehmen oder einer einzelnen Unternehmensgruppe gewährten Vorteile zu berücksichtigen ist, und ihrer Art vertretbar und verhältnismäßig sind und daher nicht vermuten lassen, dass sie die Pflicht des Wertpapierdienstleistungsunternehmens, im bestmöglichen Interesse ihrer Kunden zu handeln, beeinträchtigen,</w:t>
      </w:r>
    </w:p>
    <w:p>
      <w:r>
        <w:t xml:space="preserve">wenn diese Zuwendungen dem Kunden unmissverständlich offengelegt werden, bevor die betreffende Wertpapierdienstleistung oder Wertpapiernebendienstleistung für die Kunden erbracht wird. Die Offenlegung kann in Form einer generischen Beschreibung erfolgen. Monetäre Zuwendungen, die im Zusammenhang mit der Finanzportfolioverwaltung angenommen werden, sind so schnell wie nach vernünftigem Ermessen möglich nach Erhalt und in vollem Umfang an den Kunden auszukehren. Vorschriften über die Entrichtung von Steuern und Abgaben bleiben davon unberührt. Das Wertpapierdienstleistungsunternehmen muss den Kunden über die ausgekehrten monetären Zuwendungen unterrichten.</w:t>
      </w:r>
    </w:p>
    <w:p>
      <w:r>
        <w:t xml:space="preserve">(7a) Erbringt ein Wertpapierdienstleistungsunternehmen Finanzportfolioverwaltung, muss es den Kunden zusätzlich zu den Informationen nach § 63 Absatz 7 rechtzeitig und in verständlicher Form Informationen nach Artikel 6 Absatz 1 und den Artikeln 7 bis 9 der Verordnung (EU) 2019/2088 und nach den Artikeln 5 bis 7 der Verordnung (EU) 2020/852 zur Verfügung stellen. § 63 Absatz 7 Satz 2 und Absatz 8 gilt entsprechend.</w:t>
      </w:r>
    </w:p>
    <w:p>
      <w:r>
        <w:t xml:space="preserve">(8) Erbringt ein Wertpapierdienstleistungsunternehmen Finanzportfolioverwaltung oder hat es den Kunden nach Absatz 1 Satz 1 Nummer 3 darüber informiert, dass es die Geeignetheit der empfohlenen Finanzinstrumente regelmäßig beurteilt, so müssen die regelmäßigen Berichte gegenüber Privatkunden nach § 63 Absatz 12 insbesondere eine Erklärung darüber enthalten, wie die Anlage den Präferenzen, den Anlagezielen und den sonstigen Merkmalen des Kunden entspricht. Erbringt ein Wertpapierdienstleistungsunternehmen Finanzportfolioverwaltung, müssen die regelmäßigen Berichte nach § 63 Absatz 12 auch die Erläuterungen und Informationen nach Artikel 11 Absatz 1 der Verordnung (EU) 2019/2088 und nach den Artikeln 5 bis 7 der Verordnung (EU) 2020/852 enthalten.</w:t>
      </w:r>
    </w:p>
    <w:p>
      <w:r>
        <w:t xml:space="preserve">(9) Nähere Bestimmungen zu den Absätzen 1, 3, 5 und 8 ergeben sich aus der Delegierten Verordnung (EU) 2017/565, insbesondere zu</w:t>
      </w:r>
    </w:p>
    <w:p>
      <w:pPr>
        <w:ind w:left="420"/>
      </w:pPr>
      <w:r>
        <w:t xml:space="preserve">1. Art, Inhalt, Gestaltung und Zeitpunkt der nach den Absätzen 1 und 5, auch in Verbindung mit § 63 Absatz 7, notwendigen Informationen für die Kunden aus den Artikeln 52 und 53,</w:t>
      </w:r>
    </w:p>
    <w:p>
      <w:pPr>
        <w:ind w:left="420"/>
      </w:pPr>
      <w:r>
        <w:t xml:space="preserve">2. der Geeignetheit nach Absatz 3, den im Zusammenhang mit der Beurteilung der Geeignetheit geltenden Pflichten sowie zu Art, Umfang und Kriterien der nach Absatz 3 von den Kunden einzuholenden Informationen aus den Artikeln 54 und 55,</w:t>
      </w:r>
    </w:p>
    <w:p>
      <w:pPr>
        <w:ind w:left="420"/>
      </w:pPr>
      <w:r>
        <w:t xml:space="preserve">3. der Erklärung nach Absatz 4 aus Artikel 54 Absatz 12,</w:t>
      </w:r>
    </w:p>
    <w:p>
      <w:pPr>
        <w:ind w:left="420"/>
      </w:pPr>
      <w:r>
        <w:t xml:space="preserve">4. der Anlageberatung nach Absatz 5 aus Artikel 53,</w:t>
      </w:r>
    </w:p>
    <w:p>
      <w:pPr>
        <w:ind w:left="420"/>
      </w:pPr>
      <w:r>
        <w:t xml:space="preserve">5. Art, Inhalt und Zeitpunkt der Berichtspflichten nach Absatz 8, auch in Verbindung mit § 63 Absatz 12, aus den Artikeln 60 und 62.</w:t>
      </w:r>
    </w:p>
    <w:p>
      <w:r>
        <w:t xml:space="preserve">(10) Das Bundesministerium der Finanzen kann durch Rechtsverordnung, die nicht der Zustimmung des Bundesrates bedarf, nähere Bestimmungen erlassen</w:t>
      </w:r>
    </w:p>
    <w:p>
      <w:pPr>
        <w:ind w:left="420"/>
      </w:pPr>
      <w:r>
        <w:t xml:space="preserve">1. im Einvernehmen mit dem Bundesministerium der Justiz und für Verbraucherschutz zu Inhalt und Aufbau sowie zu Art und Weise der Zurverfügungstellung der Informationsblätter im Sinne des Absatzes 2 Satz 1 und zu Inhalt und Aufbau sowie Art und Weise der Zurverfügungstellung des standardisierten Informationsblattes im Sinne des Absatzes 2 Satz 3,</w:t>
      </w:r>
    </w:p>
    <w:p>
      <w:pPr>
        <w:ind w:left="420"/>
      </w:pPr>
      <w:r>
        <w:t xml:space="preserve">2. zu Art, inhaltlicher Gestaltung, Zeitpunkt und Datenträger der nach Absatz 6 notwendigen Informationen für die Kunden,</w:t>
      </w:r>
    </w:p>
    <w:p>
      <w:pPr>
        <w:ind w:left="420"/>
      </w:pPr>
      <w:r>
        <w:t xml:space="preserve">3. zu Kriterien dazu, wann geringfügige nichtmonetäre Vorteile im Sinne des Absatzes 7 vorliegen.</w:t>
      </w:r>
    </w:p>
    <w:p>
      <w:r>
        <w:t xml:space="preserve">Das Bundesministerium der Finanzen kann die Ermächtigung durch Rechtsverordnung auf die Bundesanstalt übertragen.</w:t>
      </w:r>
    </w:p>
    <w:p>
      <w:r>
        <w:rPr>
          <w:color w:val="555555"/>
          <w:sz w:val="17"/>
        </w:rPr>
        <w:t xml:space="preserve">Zitiervorschlag: § 64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