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WpHG — Prüfung der Organisationspflichten; Verordnungsermächtigung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Unbeschadet des § 59 ist die Einhaltung der in § 58 sowie der in Titel IVa der Verordnung (EU) Nr. 600/2014, auch in Verbindung mit delegierten Rechtsakten und Durchführungsrechtsakten auf der Grundlage von Artikel 27g Absatz 6 bis 8 sowie Artikel 27i Absatz 5 dieser Verordnung, geregelten Pflichten einmal jährlich durch einen geeigneten Prüfer zu prüfen. § 89 Absatz 1 Satz 4 und 6, Absatz 2 Satz 1 und 2, Absatz 3 und 4 gilt entsprechend.</w:t>
      </w:r>
    </w:p>
    <w:p>
      <w:r>
        <w:t xml:space="preserve">(2) Das Bundesministerium der Finanzen kann durch Rechtsverordnung, die nicht der Zustimmung des Bundesrates bedarf, nähere Bestimmungen über Art, Umfang und Zeitpunkt der Prüfung nach Absatz 1 sowie den Inhalt der Prüfungsberichte erlassen. Das Bundesministerium der Finanzen kann die Ermächtigung durch Rechtsverordnung auf die Bundesanstalt übertragen.</w:t>
      </w:r>
    </w:p>
    <w:p>
      <w:r>
        <w:rPr>
          <w:color w:val="555555"/>
          <w:sz w:val="17"/>
        </w:rPr>
        <w:t xml:space="preserve">Zitiervorschlag: § 60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