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57 WpHG — Positionsmeldungen; Verordnungsermächtigung</w:t>
      </w:r>
    </w:p>
    <w:p>
      <w:r>
        <w:rPr>
          <w:color w:val="555555"/>
          <w:sz w:val="18"/>
        </w:rPr>
        <w:t xml:space="preserve">Wertpapierhandelsgesetz</w:t>
      </w:r>
    </w:p>
    <w:p>
      <w:r>
        <w:rPr>
          <w:color w:val="555555"/>
          <w:sz w:val="18"/>
        </w:rPr>
        <w:t xml:space="preserve">Stand: 14.03.2026 (konsolidierte Textfassung, kein amtliches Inkrafttretensdatum)</w:t>
      </w:r>
    </w:p>
    <w:p>
      <w:r>
        <w:t xml:space="preserve">(1) Mitglieder und Teilnehmer von Handelsplätzen sind verpflichtet, dem jeweiligen Betreiber des Handelsplatzes einmal täglich die Einzelheiten ihrer eigenen Positionen in Warenderivaten, die an diesem Handelsplatz gehandelt werden, wie auch die Positionen ihrer Kunden und der Kunden dieser Kunden bis zum Endkunden zu melden. Kunden und deren Kunden bis zum Endkunden haben den zur Meldung verpflichteten Teilnehmern an Handelsplätzen die für die Meldung notwendigen Informationen zur Verfügung zu stellen. Die Pflicht nach Satz 1 gilt nicht für Wertpapiere im Sinne des § 2 Absatz 1 Nummer 3 Buchstabe b, die mit Waren oder Basiswerten im Sinne des § 2 Absatz 3 Nummer 2 in Verbindung stehen.</w:t>
      </w:r>
    </w:p>
    <w:p>
      <w:r>
        <w:t xml:space="preserve">(2) Der Betreiber eines Handelsplatzes, an dem Warenderivate oder Derivate von Emissionszertifikaten gehandelt werden, muss wöchentlich eine Aufstellung der betreffenden aggregierten Positionen, die von Personenkategorien nach Satz 4 in diesen Finanzinstrumenten gehalten werden, veröffentlichen und der Bundesanstalt sowie der Europäischen Wertpapier- und Marktaufsichtsbehörde übermitteln; wenn am Handelsplatz auch Optionen auf diese Finanzinstrumente gehandelt werden, sind zwei Aufstellungen zu veröffentlichen und zu übermitteln, von denen eine diese Optionen nicht berücksichtigt. Die Aufstellung muss jeweils enthalten:</w:t>
      </w:r>
    </w:p>
    <w:p>
      <w:pPr>
        <w:ind w:left="420"/>
      </w:pPr>
      <w:r>
        <w:t xml:space="preserve">1. die Zahl der Kauf- und Verkaufspositionen, aufgeteilt nach den in den Sätzen 4 und 5 genannten Kategorien,</w:t>
      </w:r>
    </w:p>
    <w:p>
      <w:pPr>
        <w:ind w:left="420"/>
      </w:pPr>
      <w:r>
        <w:t xml:space="preserve">2. diesbezügliche Änderungen seit dem letzten Bericht,</w:t>
      </w:r>
    </w:p>
    <w:p>
      <w:pPr>
        <w:ind w:left="420"/>
      </w:pPr>
      <w:r>
        <w:t xml:space="preserve">3. den prozentualen Anteil der gesamten offenen Kontraktpositionen in jeder Kategorie sowie</w:t>
      </w:r>
    </w:p>
    <w:p>
      <w:pPr>
        <w:ind w:left="420"/>
      </w:pPr>
      <w:r>
        <w:t xml:space="preserve">4. die Anzahl der Positionsinhaber in jeder Kategorie.</w:t>
      </w:r>
    </w:p>
    <w:p>
      <w:r>
        <w:t xml:space="preserve">Bei den Angaben nach Satz 2 sind jeweils Positionen getrennt darzustellen, die objektiv messbar die unmittelbar mit einer Geschäftstätigkeit in Zusammenhang stehenden Risiken verringern, und andere Positionen. Für die Zwecke des Satzes 1 hat der Betreiber des Handelsplatzes die Inhaber einer Position entsprechend ihrer Haupttätigkeit, für die sie zugelassen sind, einer der folgenden Kategorien zuzuordnen:</w:t>
      </w:r>
    </w:p>
    <w:p>
      <w:pPr>
        <w:ind w:left="420"/>
      </w:pPr>
      <w:r>
        <w:t xml:space="preserve">1. Wertpapierdienstleistungsunternehmen und Kreditinstitute,</w:t>
      </w:r>
    </w:p>
    <w:p>
      <w:pPr>
        <w:ind w:left="420"/>
      </w:pPr>
      <w:r>
        <w:t xml:space="preserve">2. Investmentvermögen im Sinne des § 1 Absatz 1 des Kapitalanlagegesetzbuchs,</w:t>
      </w:r>
    </w:p>
    <w:p>
      <w:pPr>
        <w:ind w:left="420"/>
      </w:pPr>
      <w:r>
        <w:t xml:space="preserve">3. sonstige Finanzinstitute, einschließlich Versicherungsunternehmen oder Rückversicherungsunternehmen im Sinne der Richtlinie 2009/138/EG und Einrichtungen der betrieblichen Altersversorgung im Sinne der Richtlinie 2003/41/EG,</w:t>
      </w:r>
    </w:p>
    <w:p>
      <w:pPr>
        <w:ind w:left="420"/>
      </w:pPr>
      <w:r>
        <w:t xml:space="preserve">4. sonstige kommerzielle Unternehmen.</w:t>
      </w:r>
    </w:p>
    <w:p>
      <w:r>
        <w:t xml:space="preserve">Im Fall eines Derivats von Emissionszertifikaten ist ergänzend zu Satz 4 eine weitere Kategorie für Betreiber mit der Verpflichtung zur Einhaltung der Anforderungen der Richtlinie 2003/87/EG bei Derivaten von Emissionszertifikaten zu bilden. Die Pflicht nach Satz 1 gilt nur für Warenderivate und Derivate von Emissionszertifikaten, bei denen die in Artikel 83 der Delegierten Verordnung (EU) 2017/565 festgelegten Mindestschwellen überschritten werden.</w:t>
      </w:r>
    </w:p>
    <w:p>
      <w:r>
        <w:t xml:space="preserve">(3) Betreiber eines Handelsplatzes, an dem Warenderivate oder Derivate von Emissionszertifikaten gehandelt werden, müssen der Bundesanstalt darüber hinaus einmal täglich eine vollständige Aufstellung der Positionen aller Mitglieder oder Teilnehmer an diesem Handelsplatz sowie deren Kunden und der Kunden dieser Kunden bis zum Endkunden in Warenderivaten oder Derivaten von Emissionszertifikaten übermitteln.</w:t>
      </w:r>
    </w:p>
    <w:p>
      <w:r>
        <w:t xml:space="preserve">(4) Wertpapierdienstleistungsunternehmen, die außerhalb eines Handelsplatzes mit Warenderivaten oder Derivaten von Emissionszertifikaten handeln, die auch an einem Handelsplatz gehandelt werden, sind verpflichtet, der in Satz 2 genannten Behörde mindestens einmal täglich eine vollständige Aufstellung ihrer Positionen in wirtschaftlich gleichwertigen OTC-Kontrakten sowie der entsprechenden Positionen ihrer Kunden und der Kunden dieser Kunden bis zum Endkunden gemäß Artikel 26 der Verordnung (EU) Nr. 600/2014 oder Artikel 8 der Verordnung (EU) Nr. 1227/2011 zu übermitteln. Die Aufstellung nach Satz 1 ist zu übermitteln</w:t>
      </w:r>
    </w:p>
    <w:p>
      <w:pPr>
        <w:ind w:left="420"/>
      </w:pPr>
      <w:r>
        <w:t xml:space="preserve">1. der zentralen zuständigen Behörde im Sinne des § 55 Absatz 1 oder</w:t>
      </w:r>
    </w:p>
    <w:p>
      <w:pPr>
        <w:ind w:left="420"/>
      </w:pPr>
      <w:r>
        <w:t xml:space="preserve">2. der zuständigen Behörde des Handelsplatzes, an dem die Warenderivate oder Derivate von Emissionszertifikaten gehandelt werden, falls es keine zentrale zuständige Behörde gibt.</w:t>
      </w:r>
    </w:p>
    <w:p>
      <w:r>
        <w:t xml:space="preserve">Kunden und deren Kunden bis zum Endkunden haben den zur Übermittlung verpflichteten Wertpapierdienstleistungsunternehmen die für die Übermittlung notwendigen Informationen zur Verfügung zu stellen.</w:t>
      </w:r>
    </w:p>
    <w:p>
      <w:r>
        <w:t xml:space="preserve">(5) Die Bundesanstalt kann in kritischen Marktsituationen verlangen, dass die Mitteilungen nach den Absätzen 1, 3 und 4 mehrfach innerhalb eines Tages erfolgen müssen.</w:t>
      </w:r>
    </w:p>
    <w:p>
      <w:r>
        <w:t xml:space="preserve">(6) Das Bundesministerium der Finanzen kann durch Rechtsverordnung, die nicht der Zustimmung des Bundesrates bedarf,</w:t>
      </w:r>
    </w:p>
    <w:p>
      <w:pPr>
        <w:ind w:left="420"/>
      </w:pPr>
      <w:r>
        <w:t xml:space="preserve">1. nähere Bestimmungen über Inhalt, Art, Umfang, Form und Häufigkeit der Mitteilungen nach den Absätzen 1 und 3 bis 5 und über die zulässigen Datenträger und Übertragungswege erlassen sowie</w:t>
      </w:r>
    </w:p>
    <w:p>
      <w:pPr>
        <w:ind w:left="420"/>
      </w:pPr>
      <w:r>
        <w:t xml:space="preserve">2. vorschreiben, dass in den in den Absätzen 1, 3 und 4 genannten Fällen über die dort genannten Angaben hinaus zusätzliche Angaben zu übermitteln sind, wenn die zusätzlichen Angaben auf Grund der besonderen Eigenschaften des Finanzinstruments, das Gegenstand der Mitteilung ist, oder der besonderen Bedingungen an dem Handelsplatz, an dem das Geschäft ausgeführt wurde, zur Überwachung der Positionslimits nach § 54 durch die Bundesanstalt erforderlich sind.</w:t>
      </w:r>
    </w:p>
    <w:p>
      <w:r>
        <w:t xml:space="preserve">Das Bundesministerium der Finanzen kann die Ermächtigung durch Rechtsverordnung auf die Bundesanstalt übertragen.</w:t>
      </w:r>
    </w:p>
    <w:p>
      <w:r>
        <w:rPr>
          <w:color w:val="555555"/>
          <w:sz w:val="17"/>
        </w:rPr>
        <w:t xml:space="preserve">Zitiervorschlag: § 57 WpHG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https://recht.nulegal.eu/gesetze/WpHG/57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