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WpHG — Anwendung von Positionslimits</w:t>
      </w:r>
    </w:p>
    <w:p>
      <w:r>
        <w:rPr>
          <w:color w:val="555555"/>
          <w:sz w:val="18"/>
        </w:rPr>
        <w:t xml:space="preserve">Wertpapierhandelsgesetz</w:t>
      </w:r>
    </w:p>
    <w:p>
      <w:r>
        <w:rPr>
          <w:color w:val="555555"/>
          <w:sz w:val="18"/>
        </w:rPr>
        <w:t xml:space="preserve">Stand: 28.11.2021 (konsolidierte Textfassung, kein amtliches Inkrafttretensdatum)</w:t>
      </w:r>
    </w:p>
    <w:p>
      <w:r>
        <w:t xml:space="preserve">(1) Bei der Anwendung der nach den §§ 54 und 55 festgelegten Positionslimits werden alle Positionen berücksichtigt, die von einer natürlichen oder juristischen Person oder einer Personenvereinigung selbst oder aggregiert auf Gruppenebene gehalten werden. Nähere Bestimmungen zur Berechnung der Position ergeben sich aus den Artikeln 3, 4 und 9 bis 20 der Delegierten Verordnung (EU) 2017/591.</w:t>
      </w:r>
    </w:p>
    <w:p>
      <w:r>
        <w:t xml:space="preserve">(2) Die nach den §§ 54 und 55 festgelegten Positionslimits gelten auch für OTC-Kontrakte, die wirtschaftlich gleichwertig mit Warenderivaten im Sinne des Absatzes 1 sind. Nähere Bestimmungen zur wirtschaftlichen Gleichwertigkeit ergeben sich aus Artikel 6 der Delegierten Verordnung (EU) 2017/591.</w:t>
      </w:r>
    </w:p>
    <w:p>
      <w:r>
        <w:t xml:space="preserve">(3) Die nach den §§ 54 und 55 festgelegten Positionslimits gelten nicht für:</w:t>
      </w:r>
    </w:p>
    <w:p>
      <w:pPr>
        <w:ind w:left="420"/>
      </w:pPr>
      <w:r>
        <w:t xml:space="preserve">1. Positionen, für die die Bundesanstalt oder die zuständige Behörde eines anderen Mitgliedstaats auf Antrag festgestellt hat, dass sie von oder für eine nichtfinanzielle Stelle gehalten werden und die objektiv messbar die direkt mit der Geschäftstätigkeit dieser nichtfinanziellen Stelle verbundenen Risiken mindern,</w:t>
      </w:r>
    </w:p>
    <w:p>
      <w:pPr>
        <w:ind w:left="420"/>
      </w:pPr>
      <w:r>
        <w:t xml:space="preserve">2. Positionen, für die die Bundesanstalt oder die zuständige Behörde eines anderen Mitgliedstaats auf Antrag festgestellt hat, dass sie von oder für eine finanzielle Stelle gehalten werden, die Teil einer überwiegend kommerziellen Unternehmensgruppe ist und die im Namen einer nichtfinanziellen Stelle der überwiegend kommerziellen Unternehmensgruppe handelt, und diese Positionen objektiv messbar die direkt mit der Geschäftstätigkeit dieser nichtfinanziellen Stelle verbundenen Risiken mindern,</w:t>
      </w:r>
    </w:p>
    <w:p>
      <w:pPr>
        <w:ind w:left="420"/>
      </w:pPr>
      <w:r>
        <w:t xml:space="preserve">3. Positionen, für die die Bundesanstalt oder die zuständige Behörde eines anderen Mitgliedstaats auf Antrag festgestellt hat, dass sie von finanziellen und nichtfinanziellen Gegenparteien gehalten werden und objektiv messbar aus Transaktionen stammen, die abgeschlossen wurden, um der Verpflichtung gemäß Artikel 2 Absatz 4 Unterabsatz 4 Buchstabe c der Richtlinie 2014/65/EU, einen Handelsplatz mit Liquidität zu versorgen, in Bezug auf Warenderivate nachzukommen und</w:t>
      </w:r>
    </w:p>
    <w:p>
      <w:pPr>
        <w:ind w:left="420"/>
      </w:pPr>
      <w:r>
        <w:t xml:space="preserve">4. Wertpapiere im Sinne des § 2 Absatz 1 Nummer 3 Buchstabe b, die mit Waren oder Basiswerten im Sinne des § 2 Absatz 3 Nummer 2 in Verbindung stehen.</w:t>
      </w:r>
    </w:p>
    <w:p>
      <w:r>
        <w:t xml:space="preserve">Nähere Bestimmungen zum Verfahren bei der Beantragung von Ausnahmen nach Satz 1 Nummer 1, 2 und 3 ergeben sich aus den von der Kommission aufgrund der gemäß Artikel 57 Absatz 1 der Richtlinie 2014/65/EU in der jeweils geltenden Fassung in Verbindung mit Absatz 10 bis 14 der Verordnung (EU) Nr. 1095/2010 erlassenen technischen Regulierungsstandards.</w:t>
      </w:r>
    </w:p>
    <w:p>
      <w:r>
        <w:rPr>
          <w:color w:val="555555"/>
          <w:sz w:val="17"/>
        </w:rPr>
        <w:t xml:space="preserve">Zitiervorschlag: § 56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