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WpHG — Positionslimits und Positionsmanagementkontrollen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legt vorbehaltlich des § 55 für jedes Derivat auf landwirtschaftliche Erzeugnisse und jedes kritische oder signifikante Warenderivat, das an einem inländischen Handelsplatz gehandelt wird, einen quantitativen Schwellenwert für die maximale Größe einer Position in diesem Derivat, die eine Person halten darf (Positionslimit), fest. Warenderivate gelten als kritisch oder signifikant, wenn die Summe aller Nettopositionen der Halter von Endpositionen dem Umfang ihrer offenen Positionen entspricht und durchschnittlich mindestens 300 000 handelbare Einheiten innerhalb von 12 Monaten beträgt. Nähere Bestimmungen zur Berechnungsmethode nach der die Positionslimits in Spot-Monaten und anderen Monaten für effektiv gelieferte oder bar abgerechnete Warenderivate auf der Grundlage der Eigenschaften der entsprechenden Derivate festgelegt werden, ergeben sich aus von der Kommission gemäß Artikel 57 Absatz 3 der Richtlinie 2014/65/EU in der jeweils geltenden Fassung erlassenen technischen Regulierungsstandards.</w:t>
      </w:r>
    </w:p>
    <w:p>
      <w:r>
        <w:t xml:space="preserve">(2) Das Positionslimit ist so festzulegen, dass es</w:t>
      </w:r>
    </w:p>
    <w:p>
      <w:pPr>
        <w:ind w:left="420"/>
      </w:pPr>
      <w:r>
        <w:t xml:space="preserve">1. Marktmissbrauch im Sinne des Artikels 1 der Verordnung (EU) Nr. 596/2014 verhindert und</w:t>
      </w:r>
    </w:p>
    <w:p>
      <w:pPr>
        <w:ind w:left="420"/>
      </w:pPr>
      <w:r>
        <w:t xml:space="preserve">2. zu geordneten Preisbildungs- und Abwicklungsbedingungen beiträgt.</w:t>
      </w:r>
    </w:p>
    <w:p>
      <w:r>
        <w:t xml:space="preserve">Insbesondere trägt das Positionslimit zu Preisbildungs- und Abwicklungsbedingungen im Sinne des Satzes 1 Nummer 2 bei, wenn es</w:t>
      </w:r>
    </w:p>
    <w:p>
      <w:pPr>
        <w:ind w:left="420"/>
      </w:pPr>
      <w:r>
        <w:t xml:space="preserve">1. marktverzerrende Positionen verhindert und</w:t>
      </w:r>
    </w:p>
    <w:p>
      <w:pPr>
        <w:ind w:left="420"/>
      </w:pPr>
      <w:r>
        <w:t xml:space="preserve">2. eine Konvergenz zwischen dem Preis des Derivats im Monat der Lieferung und dem Preis für die zugrunde liegende Ware an den entsprechenden Spotmärkten sicherstellt, ohne dass die Preisbildung am Markt für die zugrunde liegende Ware davon berührt wird.</w:t>
      </w:r>
    </w:p>
    <w:p>
      <w:r>
        <w:t xml:space="preserve">(3) Die Bundesanstalt kann in Ausnahmefällen Positionslimits festlegen, die strenger sind als die nach den Absätzen 1 und 2 berechneten, wenn dies unter Berücksichtigung der Liquidität in dem betreffenden Derivat und im Interesse einer geordneten Funktionsweise des betreffenden Marktes geboten und verhältnismäßig ist. Eine Festlegung nach Satz 1 ist auf der Internetseite der Bundesanstalt zu veröffentlichen und auf höchstens sechs Monate ab dem Zeitpunkt der Veröffentlichung befristet. Liegen die Gründe nach Satz 1 auch nach Ablauf dieser Frist weiter vor, kann die Festlegung jeweils für einen Zeitraum von höchstens sechs Monaten verlängert werden. Absatz 4 gilt entsprechend.</w:t>
      </w:r>
    </w:p>
    <w:p>
      <w:r>
        <w:t xml:space="preserve">(4) Vor Festlegung eines Positionslimits nach Absatz 1 teilt die Bundesanstalt der Europäischen Wertpapier- und Marktaufsichtsbehörde das beabsichtigte Positionslimit mit. Verlangt diese binnen zwei Monaten nach Erhalt der Mitteilung nach Satz 1 eine Änderung an dem Positionslimit und kommt die Bundesanstalt diesem Verlangen nicht nach, teilt sie ihre Entscheidung einschließlich ihrer Gründe der Europäischen Wertpapier- und Marktaufsichtsbehörde mit und veröffentlicht ihre begründete Entscheidung auf ihrer Internetseite. Die Bundesanstalt übermittelt die Einzelheiten der von ihr festgelegten Positionslimits an die Europäische Wertpapier- und Marktaufsichtsbehörde.</w:t>
      </w:r>
    </w:p>
    <w:p>
      <w:r>
        <w:t xml:space="preserve">(5) Ändert sich die lieferbare Menge eines Derivats oder die Anzahl oder das Volumen offener Kontraktpositionen in einem Derivat in erheblichem Umfang oder treten sonstige erhebliche Änderungen auf dem Markt auf, legt die Bundesanstalt die Positionslimits nach Maßgabe der Absätze 1 bis 4 neu fest. Die Betreiber von Handelsplätzen unterrichten die Bundesanstalt über nach Satz 1 erhebliche Änderungen an ihrem Handelsplatz.</w:t>
      </w:r>
    </w:p>
    <w:p>
      <w:r>
        <w:t xml:space="preserve">(6) Der Betreiber eines multilateralen oder organisierten Handelssystems, an dem Warenderivate oder Derivate von Emissionszertifikaten gehandelt werden, muss Verfahren zur laufenden Überwachung von Positionen einrichten (Positionsmanagementkontrollen). Diese müssen transparent und diskriminierungsfrei ausgestaltet werden, festlegen, wie sie anzuwenden sind und der Art und Zusammensetzung der Marktteilnehmer sowie deren Nutzung der zum Handel zugelassenen Kontrakte Rechnung tragen. Im Rahmen von Kontrollen nach den Sätzen 1 und 2 hat der Betreiber eines Handelsplatzes insbesondere sicherzustellen, dass er das Recht hat,</w:t>
      </w:r>
    </w:p>
    <w:p>
      <w:pPr>
        <w:ind w:left="420"/>
      </w:pPr>
      <w:r>
        <w:t xml:space="preserve">1. die offenen Kontraktpositionen jeder Person zu überwachen,</w:t>
      </w:r>
    </w:p>
    <w:p>
      <w:pPr>
        <w:ind w:left="420"/>
      </w:pPr>
      <w:r>
        <w:t xml:space="preserve">2. von jeder Person Zugang zu Informationen, einschließlich aller einschlägigen Unterlagen, über Größe und Zweck einer eingegangenen Position oder offenen Forderung, über wirtschaftliche oder tatsächliche Eigentümer, etwaige Absprachen sowie alle etwaigen zugehörigen Vermögenswerte oder Verbindlichkeiten im einschlägigen Basiswert zu erhalten, gegebenenfalls auch zu Positionen, die in Warenderivaten mit demselben Basiswert und denselben Eigenschaften an anderen Handelsplätzen und in wirtschaftlich gleichwertigen OTC-Kontrakten über Mitglieder und Teilnehmer gehalten werden,</w:t>
      </w:r>
    </w:p>
    <w:p>
      <w:pPr>
        <w:ind w:left="420"/>
      </w:pPr>
      <w:r>
        <w:t xml:space="preserve">3. von jeder Person die zeitweilige oder dauerhafte Auflösung oder Reduzierung einer von ihr eingegangenen Position zu verlangen und, falls der Betreffende dem nicht nachkommt, einseitig geeignete Maßnahmen zu ergreifen, um die Auflösung oder Reduzierung sicherzustellen, und</w:t>
      </w:r>
    </w:p>
    <w:p>
      <w:pPr>
        <w:ind w:left="420"/>
      </w:pPr>
      <w:r>
        <w:t xml:space="preserve">4. von jeder Person zu verlangen, zeitweilig Liquidität zu einem vereinbarten Preis und in vereinbartem Umfang eigens zu dem Zweck in den Markt zurückfließen zu lassen, die Auswirkungen einer großen oder marktbeherrschenden Position abzumildern.</w:t>
      </w:r>
    </w:p>
    <w:p>
      <w:r>
        <w:t xml:space="preserve">Der Betreiber unterrichtet die Bundesanstalt über Einzelheiten der Positionsmanagementkontrollen nach den Sätzen 1 bis 3. Die Bundesanstalt übermittelt diese Informationen an die Europäische Wertpapier- und Marktaufsichtsbehörde. Nähere Bestimmungen zum Inhalt der Positionsmanagementkontrollen ergeben sich aus den von der Kommission aufgrund der gemäß Artikel 57 Absatz 8 der Richtlinie 2014/65/EU in der jeweils geltenden Fassung in Verbindung mit Absatz 10 bis 14 der Verordnung (EU) Nr. 1095/2010 erlassenen technischen Regulierungsstandards.</w:t>
      </w:r>
    </w:p>
    <w:p>
      <w:r>
        <w:rPr>
          <w:color w:val="555555"/>
          <w:sz w:val="17"/>
        </w:rPr>
        <w:t xml:space="preserve">Zitiervorschlag: § 54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