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WpHG — Überwachung von Leerverkäufen; Verordnungsermächtigung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Bundesanstalt ist zuständige Behörde im Sinne der Verordnung (EU) Nr. 236/2012. § 15 Absatz 7 des Börsengesetzes bleibt unberührt. Soweit in der Verordnung (EU) Nr. 236/2012 nichts Abweichendes geregelt ist, gelten die Vorschriften der Abschnitte 1 und 2 dieses Gesetzes, mit Ausnahme des § 18 Absatz 7 Satz 5 bis 8, des § 21 Absatz 1 Satz 3 und des § 22, entsprechend.</w:t>
      </w:r>
    </w:p>
    <w:p>
      <w:r>
        <w:t xml:space="preserve">(2) Die Bundesanstalt übt die ihr nach Absatz 1 Satz 1 in Verbindung mit der Verordnung (EU) Nr. 236/2012 übertragenen Befugnisse aus, soweit dies für die Wahrnehmung ihrer Aufgaben und die Überwachung der Einhaltung der in der Verordnung (EU) Nr. 236/2012 geregelten Pflichten erforderlich ist. Für die Zwecke des Artikels 9 Absatz 4 Satz 2 der Verordnung (EU) Nr. 236/2012 beaufsichtigt die Bundesanstalt die entsprechenden Internetseiten des Bundesanzeigers.</w:t>
      </w:r>
    </w:p>
    <w:p>
      <w:r>
        <w:t xml:space="preserve">(3) Widerspruch und Anfechtungsklage gegen Maßnahmen der Bundesanstalt nach Absatz 2, auch in Verbindung mit der Verordnung (EU) Nr. 236/2012, haben keine aufschiebende Wirkung.</w:t>
      </w:r>
    </w:p>
    <w:p>
      <w:r>
        <w:t xml:space="preserve">(4) Das Bundesministerium der Finanzen kann durch Rechtsverordnung, die nicht der Zustimmung des Bundesrates bedarf, nähere Bestimmungen über</w:t>
      </w:r>
    </w:p>
    <w:p>
      <w:pPr>
        <w:ind w:left="420"/>
      </w:pPr>
      <w:r>
        <w:t xml:space="preserve">1. Art, Umfang und Form von Mitteilungen und Veröffentlichungen von Netto-Leerverkaufspositionen nach den Artikeln 5 bis 8 der Verordnung (EU) Nr. 236/2012,</w:t>
      </w:r>
    </w:p>
    <w:p>
      <w:pPr>
        <w:ind w:left="420"/>
      </w:pPr>
      <w:r>
        <w:t xml:space="preserve">2. die Beaufsichtigung der Internetseiten des Bundesanzeigers für die Zwecke des Artikels 9 Absatz 4 Satz 2 der Verordnung (EU) Nr. 236/2012 sowie</w:t>
      </w:r>
    </w:p>
    <w:p>
      <w:pPr>
        <w:ind w:left="420"/>
      </w:pPr>
      <w:r>
        <w:t xml:space="preserve">3. Art, Umfang und Form der Mitteilungen, Übermittlungen und Benachrichtigungen gemäß Artikel 17 Absatz 5, 6 und 8 bis 10 der Verordnung (EU) Nr. 236/2012</w:t>
      </w:r>
    </w:p>
    <w:p>
      <w:r>
        <w:t xml:space="preserve">erlassen.</w:t>
      </w:r>
    </w:p>
    <w:p>
      <w:r>
        <w:t xml:space="preserve">Das Bundesministerium der Finanzen kann die Ermächtigung des Satzes 1 durch Rechtsverordnung ohne Zustimmung des Bundesrates auf die Bundesanstalt übertragen.</w:t>
      </w:r>
    </w:p>
    <w:p>
      <w:r>
        <w:rPr>
          <w:color w:val="555555"/>
          <w:sz w:val="17"/>
        </w:rPr>
        <w:t xml:space="preserve">Zitiervorschlag: § 53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