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WpHG — Befreiung</w:t>
      </w:r>
    </w:p>
    <w:p>
      <w:r>
        <w:rPr>
          <w:color w:val="555555"/>
          <w:sz w:val="18"/>
        </w:rPr>
        <w:t xml:space="preserve">Wertpapierhandelsgesetz</w:t>
      </w:r>
    </w:p>
    <w:p>
      <w:r>
        <w:rPr>
          <w:color w:val="555555"/>
          <w:sz w:val="18"/>
        </w:rPr>
        <w:t xml:space="preserve">Stand: 10.07.2026 (konsolidierte Textfassung, kein amtliches Inkrafttretensdatum)</w:t>
      </w:r>
    </w:p>
    <w:p>
      <w:r>
        <w:t xml:space="preserve">(1) Die Bundesanstalt kann Inlandsemittenten mit Sitz in einem Drittstaat von den Pflichten nach den §§ 48, 49 und 50 Absatz 1 Satz 1 Nummer 1 und 2 freistellen, soweit diese Emittenten gleichwertigen Regeln eines Drittstaates unterliegen oder sich solchen Regeln unterwerfen. Die Bundesanstalt unterrichtet die Europäische Wertpapier- und Marktaufsichtsbehörde über die erteilte Freistellung.</w:t>
      </w:r>
    </w:p>
    <w:p>
      <w:r>
        <w:t xml:space="preserve">(2) Emittenten, denen die Bundesanstalt eine Befreiung nach Absatz 1 erteilt hat, müssen Informationen über Umstände im Sinne des § 50 Absatz 1 Satz 1 Nummer 1 und 2, die nach den gleichwertigen Regeln eines Drittstaates der Öffentlichkeit zur Verfügung zu stellen sind, nach Maßgabe des § 50 Absatz 1 in Verbindung mit einer Rechtsverordnung nach § 50 Absatz 2 veröffentlichen und die Veröffentlichung gleichzeitig der Bundesanstalt mitteilen; sie müssen die Informationen gleichzeitig mit der Veröffentlichung der das Unternehmensregister führenden Stelle zur Einstellung in das Unternehmensregister und zur Weiterleitung an das zentrale europäische Zugangsportal übermitteln.</w:t>
      </w:r>
    </w:p>
    <w:p>
      <w:r>
        <w:t xml:space="preserve">(3) Das Bundesministerium der Finanzen wird ermächtigt, durch Rechtsverordnung, die nicht der Zustimmung des Bundesrates bedarf, nähere Bestimmungen über die Gleichwertigkeit von Regeln eines Drittstaates und die Freistellung von Emittenten nach Absatz 1 zu erlassen.</w:t>
      </w:r>
    </w:p>
    <w:p>
      <w:r>
        <w:rPr>
          <w:color w:val="555555"/>
          <w:sz w:val="17"/>
        </w:rPr>
        <w:t xml:space="preserve">Zitiervorschlag: § 51 WpHG</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